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699B13" w14:textId="27F4B395" w:rsidR="00AE1EB8" w:rsidRPr="00AE1EB8" w:rsidRDefault="00AE1EB8" w:rsidP="00AE1EB8">
      <w:pPr>
        <w:pBdr>
          <w:bottom w:val="single" w:sz="12" w:space="1" w:color="auto"/>
        </w:pBdr>
        <w:tabs>
          <w:tab w:val="left" w:pos="1985"/>
        </w:tabs>
        <w:jc w:val="both"/>
        <w:rPr>
          <w:rFonts w:ascii="Arial" w:eastAsia="ＭＳ 明朝" w:hAnsi="Arial" w:cs="Arial"/>
          <w:b/>
          <w:noProof/>
          <w:lang w:val="de-DE" w:eastAsia="ja-JP"/>
        </w:rPr>
      </w:pPr>
      <w:r w:rsidRPr="00AE1EB8">
        <w:rPr>
          <w:rFonts w:ascii="Arial" w:eastAsia="ＭＳ 明朝" w:hAnsi="Arial" w:cs="Arial"/>
          <w:b/>
          <w:noProof/>
          <w:lang w:val="de-DE"/>
        </w:rPr>
        <w:t xml:space="preserve">3GPP TSG RAN WG1 </w:t>
      </w:r>
      <w:r w:rsidR="00EE0186">
        <w:rPr>
          <w:rFonts w:ascii="Arial" w:eastAsia="ＭＳ 明朝" w:hAnsi="Arial" w:cs="Arial"/>
          <w:b/>
          <w:noProof/>
          <w:lang w:val="de-DE"/>
        </w:rPr>
        <w:t xml:space="preserve">#96    </w:t>
      </w:r>
      <w:r w:rsidR="00EE0186">
        <w:rPr>
          <w:rFonts w:ascii="Arial" w:eastAsia="ＭＳ 明朝" w:hAnsi="Arial" w:cs="Arial"/>
          <w:b/>
          <w:noProof/>
          <w:lang w:val="de-DE"/>
        </w:rPr>
        <w:tab/>
      </w:r>
      <w:r w:rsidR="00EE0186">
        <w:rPr>
          <w:rFonts w:ascii="Arial" w:eastAsia="ＭＳ 明朝" w:hAnsi="Arial" w:cs="Arial"/>
          <w:b/>
          <w:noProof/>
          <w:lang w:val="de-DE"/>
        </w:rPr>
        <w:tab/>
      </w:r>
      <w:r w:rsidRPr="00EE0186">
        <w:rPr>
          <w:rFonts w:ascii="Arial" w:eastAsia="ＭＳ 明朝" w:hAnsi="Arial" w:cs="Arial"/>
          <w:b/>
          <w:noProof/>
          <w:lang w:val="de-DE"/>
        </w:rPr>
        <w:tab/>
      </w:r>
      <w:r w:rsidRPr="00EE0186">
        <w:rPr>
          <w:rFonts w:ascii="Arial" w:eastAsia="ＭＳ 明朝" w:hAnsi="Arial" w:cs="Arial"/>
          <w:b/>
          <w:noProof/>
          <w:lang w:val="de-DE"/>
        </w:rPr>
        <w:tab/>
        <w:t xml:space="preserve">                                  </w:t>
      </w:r>
      <w:r w:rsidR="00653D44" w:rsidRPr="00D34606">
        <w:rPr>
          <w:rFonts w:ascii="Arial" w:eastAsia="ＭＳ 明朝" w:hAnsi="Arial" w:cs="Arial"/>
          <w:b/>
          <w:noProof/>
          <w:lang w:val="de-DE"/>
        </w:rPr>
        <w:t xml:space="preserve"> </w:t>
      </w:r>
      <w:r w:rsidRPr="00D34606">
        <w:rPr>
          <w:rFonts w:ascii="Arial" w:eastAsia="ＭＳ 明朝" w:hAnsi="Arial" w:cs="Arial"/>
          <w:b/>
          <w:noProof/>
          <w:lang w:val="de-DE"/>
        </w:rPr>
        <w:t>R1-19</w:t>
      </w:r>
      <w:r w:rsidR="00EE0186" w:rsidRPr="00D34606">
        <w:rPr>
          <w:rFonts w:ascii="Arial" w:eastAsia="ＭＳ 明朝" w:hAnsi="Arial" w:cs="Arial"/>
          <w:b/>
          <w:noProof/>
          <w:lang w:val="de-DE"/>
        </w:rPr>
        <w:t>0</w:t>
      </w:r>
      <w:r w:rsidR="00D34606">
        <w:rPr>
          <w:rFonts w:ascii="Arial" w:eastAsia="ＭＳ 明朝" w:hAnsi="Arial" w:cs="Arial" w:hint="eastAsia"/>
          <w:b/>
          <w:noProof/>
          <w:lang w:val="de-DE" w:eastAsia="ja-JP"/>
        </w:rPr>
        <w:t>1</w:t>
      </w:r>
      <w:r w:rsidR="00D34606">
        <w:rPr>
          <w:rFonts w:ascii="Arial" w:eastAsia="ＭＳ 明朝" w:hAnsi="Arial" w:cs="Arial"/>
          <w:b/>
          <w:noProof/>
          <w:lang w:val="de-DE" w:eastAsia="ja-JP"/>
        </w:rPr>
        <w:t>941</w:t>
      </w:r>
    </w:p>
    <w:p w14:paraId="66E31421" w14:textId="2EACDF9A" w:rsidR="00AE1EB8" w:rsidRDefault="00EE0186" w:rsidP="00810DFC">
      <w:pPr>
        <w:pBdr>
          <w:bottom w:val="single" w:sz="12" w:space="1" w:color="auto"/>
        </w:pBdr>
        <w:tabs>
          <w:tab w:val="left" w:pos="1740"/>
        </w:tabs>
        <w:spacing w:beforeLines="20" w:before="65" w:afterLines="20" w:after="65"/>
        <w:jc w:val="both"/>
        <w:rPr>
          <w:rFonts w:ascii="Arial" w:eastAsia="ＭＳ 明朝" w:hAnsi="Arial" w:cs="Arial"/>
          <w:b/>
          <w:noProof/>
          <w:lang w:val="de-DE"/>
        </w:rPr>
      </w:pPr>
      <w:bookmarkStart w:id="0" w:name="OLE_LINK634"/>
      <w:r w:rsidRPr="00EE0186">
        <w:rPr>
          <w:rFonts w:ascii="Arial" w:eastAsia="ＭＳ 明朝" w:hAnsi="Arial" w:cs="Arial"/>
          <w:b/>
          <w:noProof/>
          <w:lang w:val="de-DE"/>
        </w:rPr>
        <w:t>Athens, Greece, 25th February – 1st March, 2019</w:t>
      </w:r>
      <w:bookmarkEnd w:id="0"/>
    </w:p>
    <w:p w14:paraId="390AD403" w14:textId="77777777" w:rsidR="00EE0186" w:rsidRDefault="00EE0186" w:rsidP="00810DFC">
      <w:pPr>
        <w:pBdr>
          <w:bottom w:val="single" w:sz="12" w:space="1" w:color="auto"/>
        </w:pBdr>
        <w:tabs>
          <w:tab w:val="left" w:pos="1740"/>
        </w:tabs>
        <w:spacing w:beforeLines="20" w:before="65" w:afterLines="20" w:after="65"/>
        <w:jc w:val="both"/>
        <w:rPr>
          <w:rFonts w:ascii="Arial" w:hAnsi="Arial" w:cs="Arial"/>
          <w:b/>
        </w:rPr>
      </w:pPr>
    </w:p>
    <w:p w14:paraId="438CB38C" w14:textId="67A17984"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ja-JP"/>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w:t>
      </w:r>
      <w:r w:rsidR="00213C15">
        <w:rPr>
          <w:rFonts w:ascii="Arial" w:hAnsi="Arial" w:cs="Arial" w:hint="eastAsia"/>
          <w:b/>
          <w:lang w:eastAsia="ja-JP"/>
        </w:rPr>
        <w:t>2</w:t>
      </w:r>
      <w:r w:rsidR="00AE1EB8">
        <w:rPr>
          <w:rFonts w:ascii="Arial" w:hAnsi="Arial" w:cs="Arial" w:hint="eastAsia"/>
          <w:b/>
          <w:lang w:eastAsia="ja-JP"/>
        </w:rPr>
        <w:t>.3</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6E210A8E" w:rsidR="0059279A" w:rsidRPr="000A1110" w:rsidRDefault="00BC4A52" w:rsidP="009D0FFE">
      <w:pPr>
        <w:pBdr>
          <w:bottom w:val="single" w:sz="12" w:space="1" w:color="auto"/>
        </w:pBdr>
        <w:spacing w:beforeLines="20" w:before="65" w:afterLines="20" w:after="65"/>
        <w:ind w:left="2060" w:hangingChars="855" w:hanging="2060"/>
        <w:rPr>
          <w:rFonts w:ascii="Arial" w:eastAsia="SimSun" w:hAnsi="Arial" w:cs="Arial"/>
          <w:b/>
          <w:lang w:eastAsia="zh-CN"/>
        </w:rPr>
      </w:pPr>
      <w:r>
        <w:rPr>
          <w:rFonts w:ascii="Arial" w:hAnsi="Arial" w:cs="Arial"/>
          <w:b/>
        </w:rPr>
        <w:t xml:space="preserve">Title:               </w:t>
      </w:r>
      <w:r w:rsidR="004B54D1">
        <w:rPr>
          <w:rFonts w:ascii="Arial" w:hAnsi="Arial" w:cs="Arial"/>
          <w:b/>
        </w:rPr>
        <w:t xml:space="preserve">   </w:t>
      </w:r>
      <w:r w:rsidR="00213C15">
        <w:rPr>
          <w:rFonts w:ascii="Arial" w:hAnsi="Arial" w:cs="Arial"/>
          <w:b/>
        </w:rPr>
        <w:t>Scheduling/HARQ enhancement</w:t>
      </w:r>
      <w:r w:rsidR="001E2C15">
        <w:rPr>
          <w:rFonts w:ascii="Arial" w:hAnsi="Arial" w:cs="Arial"/>
          <w:b/>
        </w:rPr>
        <w:t>s</w:t>
      </w:r>
      <w:r w:rsidR="00213C15">
        <w:rPr>
          <w:rFonts w:ascii="Arial" w:hAnsi="Arial" w:cs="Arial"/>
          <w:b/>
        </w:rPr>
        <w:t xml:space="preserve"> for NR-U </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11C1C480" w14:textId="69927DB2" w:rsidR="00050C46" w:rsidRPr="00B26A96" w:rsidRDefault="00585FA0" w:rsidP="00050C46">
      <w:pPr>
        <w:pStyle w:val="a5"/>
        <w:spacing w:afterLines="50" w:after="163"/>
        <w:jc w:val="both"/>
        <w:rPr>
          <w:rFonts w:eastAsia="SimSun"/>
          <w:szCs w:val="20"/>
          <w:lang w:eastAsia="zh-CN"/>
        </w:rPr>
      </w:pPr>
      <w:r w:rsidRPr="00213C15">
        <w:rPr>
          <w:rFonts w:eastAsia="ＭＳ 明朝"/>
          <w:lang w:eastAsia="ja-JP"/>
        </w:rPr>
        <w:t>A new WI on NR-U has been approved i</w:t>
      </w:r>
      <w:r w:rsidRPr="00213C15">
        <w:rPr>
          <w:rFonts w:eastAsia="ＭＳ 明朝" w:hint="eastAsia"/>
          <w:lang w:eastAsia="ja-JP"/>
        </w:rPr>
        <w:t>n RAN#8</w:t>
      </w:r>
      <w:r w:rsidRPr="00213C15">
        <w:rPr>
          <w:rFonts w:eastAsia="ＭＳ 明朝"/>
          <w:lang w:eastAsia="ja-JP"/>
        </w:rPr>
        <w:t>2, based on the TR</w:t>
      </w:r>
      <w:r w:rsidR="00213C15" w:rsidRPr="00213C15">
        <w:rPr>
          <w:rFonts w:eastAsia="ＭＳ 明朝"/>
          <w:lang w:eastAsia="ja-JP"/>
        </w:rPr>
        <w:t>38.889</w:t>
      </w:r>
      <w:r w:rsidRPr="00213C15">
        <w:rPr>
          <w:rFonts w:eastAsia="ＭＳ 明朝"/>
          <w:lang w:eastAsia="ja-JP"/>
        </w:rPr>
        <w:t xml:space="preserve"> from the SI [1</w:t>
      </w:r>
      <w:proofErr w:type="gramStart"/>
      <w:r w:rsidRPr="00213C15">
        <w:rPr>
          <w:rFonts w:eastAsia="ＭＳ 明朝"/>
          <w:lang w:eastAsia="ja-JP"/>
        </w:rPr>
        <w:t>][</w:t>
      </w:r>
      <w:proofErr w:type="gramEnd"/>
      <w:r w:rsidRPr="00213C15">
        <w:rPr>
          <w:rFonts w:eastAsia="ＭＳ 明朝"/>
          <w:lang w:eastAsia="ja-JP"/>
        </w:rPr>
        <w:t>2]</w:t>
      </w:r>
      <w:r w:rsidR="001018CD" w:rsidRPr="00213C15">
        <w:rPr>
          <w:rFonts w:eastAsia="ＭＳ 明朝"/>
          <w:lang w:eastAsia="ja-JP"/>
        </w:rPr>
        <w:t xml:space="preserve">. </w:t>
      </w:r>
      <w:r w:rsidR="00213C15" w:rsidRPr="00213C15">
        <w:rPr>
          <w:rFonts w:eastAsia="ＭＳ 明朝"/>
          <w:lang w:eastAsia="ja-JP"/>
        </w:rPr>
        <w:t>In this contribution, we discuss scheduling/HARQ enhancement</w:t>
      </w:r>
      <w:r w:rsidR="00803663">
        <w:rPr>
          <w:rFonts w:eastAsia="ＭＳ 明朝"/>
          <w:lang w:eastAsia="ja-JP"/>
        </w:rPr>
        <w:t>s</w:t>
      </w:r>
      <w:r w:rsidR="00213C15" w:rsidRPr="00213C15">
        <w:rPr>
          <w:rFonts w:eastAsia="ＭＳ 明朝"/>
          <w:lang w:eastAsia="ja-JP"/>
        </w:rPr>
        <w:t xml:space="preserve"> for NR-U</w:t>
      </w:r>
      <w:r w:rsidR="0058770D">
        <w:rPr>
          <w:rFonts w:eastAsia="ＭＳ 明朝"/>
          <w:lang w:eastAsia="ja-JP"/>
        </w:rPr>
        <w:t xml:space="preserve"> regarding</w:t>
      </w:r>
      <w:r w:rsidR="00213C15" w:rsidRPr="00213C15">
        <w:rPr>
          <w:rFonts w:eastAsia="ＭＳ 明朝"/>
          <w:lang w:eastAsia="ja-JP"/>
        </w:rPr>
        <w:t xml:space="preserve"> the following</w:t>
      </w:r>
      <w:r w:rsidR="0058770D">
        <w:rPr>
          <w:rFonts w:eastAsia="ＭＳ 明朝"/>
          <w:lang w:eastAsia="ja-JP"/>
        </w:rPr>
        <w:t xml:space="preserve"> agreements </w:t>
      </w:r>
      <w:r w:rsidR="00213C15" w:rsidRPr="00213C15">
        <w:rPr>
          <w:rFonts w:eastAsia="ＭＳ 明朝"/>
          <w:lang w:eastAsia="ja-JP"/>
        </w:rPr>
        <w:t xml:space="preserve">captured in TR38.889, </w:t>
      </w:r>
      <w:r w:rsidR="00490A3F" w:rsidRPr="00B26A96">
        <w:rPr>
          <w:rFonts w:eastAsia="ＭＳ 明朝"/>
          <w:lang w:eastAsia="ja-JP"/>
        </w:rPr>
        <w:t xml:space="preserve"> </w:t>
      </w:r>
      <w:r w:rsidR="001018CD" w:rsidRPr="00B26A96">
        <w:rPr>
          <w:rFonts w:eastAsia="ＭＳ 明朝"/>
          <w:lang w:eastAsia="ja-JP"/>
        </w:rPr>
        <w:t xml:space="preserve"> </w:t>
      </w:r>
    </w:p>
    <w:p w14:paraId="66788D88" w14:textId="6EACA280" w:rsidR="005175EC" w:rsidRPr="00016B53" w:rsidRDefault="0058770D" w:rsidP="00016B53">
      <w:pPr>
        <w:ind w:leftChars="200" w:left="480"/>
        <w:jc w:val="both"/>
        <w:rPr>
          <w:i/>
          <w:sz w:val="21"/>
        </w:rPr>
      </w:pPr>
      <w:r w:rsidRPr="00016B53">
        <w:rPr>
          <w:i/>
          <w:sz w:val="21"/>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20F98524" w14:textId="77777777" w:rsidR="0058770D" w:rsidRPr="00016B53" w:rsidRDefault="0058770D" w:rsidP="00016B53">
      <w:pPr>
        <w:ind w:leftChars="200" w:left="480"/>
        <w:jc w:val="both"/>
        <w:rPr>
          <w:i/>
          <w:sz w:val="21"/>
        </w:rPr>
      </w:pPr>
      <w:r w:rsidRPr="00016B53">
        <w:rPr>
          <w:i/>
          <w:sz w:val="21"/>
        </w:rPr>
        <w:t>However, it is understood in some cases, the HARQ A/N has to be transmitted in a separate COT from the one the corresponding data was transmitted. Introduce signaling a value of the PDSCH-to-HARQ-timing-indicator in the DCI scheduling the PDSCH that tells the UE that the timing and resource for HARQ-ACK feedback for the corresponding PDSCH will be determined later.</w:t>
      </w:r>
    </w:p>
    <w:p w14:paraId="1067B363" w14:textId="1F75680F" w:rsidR="0058770D" w:rsidRPr="00016B53" w:rsidRDefault="0058770D" w:rsidP="00016B53">
      <w:pPr>
        <w:ind w:leftChars="200" w:left="480"/>
        <w:jc w:val="both"/>
        <w:rPr>
          <w:i/>
          <w:sz w:val="21"/>
        </w:rPr>
      </w:pPr>
      <w:r w:rsidRPr="00016B53">
        <w:rPr>
          <w:i/>
          <w:sz w:val="21"/>
        </w:rPr>
        <w:t>Techniques to handle reduced HARQ A/N transmission opportunities for a given HARQ process due to LBT failure are identified as beneficial. Potential techniques include mechanisms to provide multiple and/or supplemental time and/or frequency domain transmission opportunities.</w:t>
      </w:r>
    </w:p>
    <w:p w14:paraId="22C834C3" w14:textId="77777777" w:rsidR="0058770D" w:rsidRPr="00016B53" w:rsidRDefault="0058770D" w:rsidP="00016B53">
      <w:pPr>
        <w:ind w:leftChars="200" w:left="480"/>
        <w:jc w:val="both"/>
        <w:rPr>
          <w:i/>
          <w:sz w:val="21"/>
        </w:rPr>
      </w:pPr>
      <w:r w:rsidRPr="00016B53">
        <w:rPr>
          <w:i/>
          <w:sz w:val="21"/>
        </w:rPr>
        <w:t xml:space="preserve">When UL HARQ feedback is transmitted on unlicensed band, NR-U considers mechanisms to support flexible </w:t>
      </w:r>
      <w:proofErr w:type="gramStart"/>
      <w:r w:rsidRPr="00016B53">
        <w:rPr>
          <w:i/>
          <w:sz w:val="21"/>
        </w:rPr>
        <w:t>triggering</w:t>
      </w:r>
      <w:proofErr w:type="gramEnd"/>
      <w:r w:rsidRPr="00016B53">
        <w:rPr>
          <w:i/>
          <w:sz w:val="21"/>
        </w:rPr>
        <w:t xml:space="preserve"> and multiplexing of HARQ feedback for one or more DL HARQ processes</w:t>
      </w:r>
    </w:p>
    <w:p w14:paraId="759CD5EF" w14:textId="77777777" w:rsidR="0058770D" w:rsidRPr="00016B53" w:rsidRDefault="0058770D" w:rsidP="00016B53">
      <w:pPr>
        <w:ind w:leftChars="200" w:left="480"/>
        <w:jc w:val="both"/>
        <w:rPr>
          <w:i/>
          <w:sz w:val="21"/>
        </w:rPr>
      </w:pPr>
      <w:r w:rsidRPr="00016B53">
        <w:rPr>
          <w:i/>
          <w:sz w:val="21"/>
        </w:rPr>
        <w:t xml:space="preserve">NR-U should support both the HARQ feedback corresponding to some or all the PDSCHs of a channel occupancy can be reported in the same channel occupancy and HARQ feedback corresponding to PDSCHs of a channel occupancy can be reported outside of that channel occupancy. </w:t>
      </w:r>
    </w:p>
    <w:p w14:paraId="43CFEF59" w14:textId="77777777" w:rsidR="0058770D" w:rsidRPr="00016B53" w:rsidRDefault="0058770D" w:rsidP="00016B53">
      <w:pPr>
        <w:ind w:leftChars="200" w:left="480"/>
        <w:jc w:val="both"/>
        <w:rPr>
          <w:i/>
          <w:sz w:val="21"/>
        </w:rPr>
      </w:pPr>
      <w:r w:rsidRPr="00016B53">
        <w:rPr>
          <w:i/>
          <w:sz w:val="21"/>
        </w:rPr>
        <w:t>To support HARQ feedback corresponding to PDSCHs of a channel occupancy can be reported outside of that channel occupancy, the following possible candidate solutions can be considered:</w:t>
      </w:r>
    </w:p>
    <w:p w14:paraId="1B1DF443" w14:textId="77777777" w:rsidR="0058770D" w:rsidRPr="00016B53" w:rsidRDefault="0058770D" w:rsidP="00016B53">
      <w:pPr>
        <w:ind w:leftChars="200" w:left="480"/>
        <w:jc w:val="both"/>
        <w:rPr>
          <w:i/>
          <w:sz w:val="21"/>
        </w:rPr>
      </w:pPr>
      <w:r w:rsidRPr="00016B53">
        <w:rPr>
          <w:i/>
          <w:sz w:val="21"/>
        </w:rPr>
        <w:t>-</w:t>
      </w:r>
      <w:r w:rsidRPr="00016B53">
        <w:rPr>
          <w:i/>
          <w:sz w:val="21"/>
        </w:rPr>
        <w:tab/>
        <w:t xml:space="preserve">Alt1: </w:t>
      </w:r>
      <w:proofErr w:type="spellStart"/>
      <w:r w:rsidRPr="00016B53">
        <w:rPr>
          <w:i/>
          <w:sz w:val="21"/>
        </w:rPr>
        <w:t>gNB</w:t>
      </w:r>
      <w:proofErr w:type="spellEnd"/>
      <w:r w:rsidRPr="00016B53">
        <w:rPr>
          <w:i/>
          <w:sz w:val="21"/>
        </w:rPr>
        <w:t xml:space="preserve"> requests/triggers feedback for PDSCH from earlier COT(s)</w:t>
      </w:r>
    </w:p>
    <w:p w14:paraId="67307A64" w14:textId="77777777" w:rsidR="0058770D" w:rsidRPr="00016B53" w:rsidRDefault="0058770D" w:rsidP="00016B53">
      <w:pPr>
        <w:ind w:leftChars="200" w:left="480"/>
        <w:jc w:val="both"/>
        <w:rPr>
          <w:i/>
          <w:sz w:val="21"/>
        </w:rPr>
      </w:pPr>
      <w:r w:rsidRPr="00016B53">
        <w:rPr>
          <w:i/>
          <w:sz w:val="21"/>
        </w:rPr>
        <w:t>-</w:t>
      </w:r>
      <w:r w:rsidRPr="00016B53">
        <w:rPr>
          <w:i/>
          <w:sz w:val="21"/>
        </w:rPr>
        <w:tab/>
        <w:t>Alt2: UE is configured to report HARQ feedback for PDSCH from earlier COT(s) without an explicit request/trigger</w:t>
      </w:r>
    </w:p>
    <w:p w14:paraId="49D4362E" w14:textId="77777777" w:rsidR="0058770D" w:rsidRPr="00016B53" w:rsidRDefault="0058770D" w:rsidP="00016B53">
      <w:pPr>
        <w:ind w:leftChars="200" w:left="480"/>
        <w:jc w:val="both"/>
        <w:rPr>
          <w:i/>
          <w:sz w:val="21"/>
        </w:rPr>
      </w:pPr>
      <w:r w:rsidRPr="00016B53">
        <w:rPr>
          <w:i/>
          <w:sz w:val="21"/>
        </w:rPr>
        <w:t>-</w:t>
      </w:r>
      <w:r w:rsidRPr="00016B53">
        <w:rPr>
          <w:i/>
          <w:sz w:val="21"/>
        </w:rPr>
        <w:tab/>
        <w:t>Alt3: by PDSCH-to-HARQ-timing-indicator in the DCI scheduling the PDSCH</w:t>
      </w:r>
    </w:p>
    <w:p w14:paraId="7625C0D7" w14:textId="6D2F531B" w:rsidR="0058770D" w:rsidRPr="00016B53" w:rsidRDefault="0058770D" w:rsidP="00016B53">
      <w:pPr>
        <w:ind w:leftChars="200" w:left="480"/>
        <w:jc w:val="both"/>
        <w:rPr>
          <w:i/>
          <w:sz w:val="21"/>
        </w:rPr>
      </w:pPr>
      <w:r w:rsidRPr="00016B53">
        <w:rPr>
          <w:i/>
          <w:sz w:val="21"/>
        </w:rPr>
        <w:t>The alternatives above are at least applicable for the case where there is no HARQ feedback expected in the same channel occupancy as the PDSCH.</w:t>
      </w:r>
    </w:p>
    <w:p w14:paraId="101B86A4" w14:textId="6353942A" w:rsidR="0058770D" w:rsidRDefault="006973B0" w:rsidP="0058770D">
      <w:pPr>
        <w:pStyle w:val="a5"/>
        <w:spacing w:afterLines="50" w:after="163"/>
        <w:jc w:val="both"/>
        <w:rPr>
          <w:rFonts w:eastAsia="ＭＳ 明朝"/>
          <w:sz w:val="22"/>
          <w:lang w:val="en-GB" w:eastAsia="ja-JP"/>
        </w:rPr>
      </w:pPr>
      <w:r>
        <w:rPr>
          <w:rFonts w:eastAsia="ＭＳ 明朝"/>
          <w:sz w:val="22"/>
          <w:lang w:val="en-GB" w:eastAsia="ja-JP"/>
        </w:rPr>
        <w:t xml:space="preserve">This submission is updated/revised from [3]. In RAN1 AH#1901, the following </w:t>
      </w:r>
      <w:r w:rsidR="00016B53">
        <w:rPr>
          <w:rFonts w:eastAsia="ＭＳ 明朝"/>
          <w:sz w:val="22"/>
          <w:lang w:val="en-GB" w:eastAsia="ja-JP"/>
        </w:rPr>
        <w:t xml:space="preserve">new </w:t>
      </w:r>
      <w:r>
        <w:rPr>
          <w:rFonts w:eastAsia="ＭＳ 明朝"/>
          <w:sz w:val="22"/>
          <w:lang w:val="en-GB" w:eastAsia="ja-JP"/>
        </w:rPr>
        <w:t>agreement</w:t>
      </w:r>
      <w:r w:rsidR="00016B53">
        <w:rPr>
          <w:rFonts w:eastAsia="ＭＳ 明朝"/>
          <w:sz w:val="22"/>
          <w:lang w:val="en-GB" w:eastAsia="ja-JP"/>
        </w:rPr>
        <w:t>s</w:t>
      </w:r>
      <w:r w:rsidR="00EE0186">
        <w:rPr>
          <w:rFonts w:eastAsia="ＭＳ 明朝"/>
          <w:sz w:val="22"/>
          <w:lang w:val="en-GB" w:eastAsia="ja-JP"/>
        </w:rPr>
        <w:t xml:space="preserve"> was made,</w:t>
      </w:r>
    </w:p>
    <w:p w14:paraId="661CF48E" w14:textId="77777777" w:rsidR="00016B53" w:rsidRPr="00016B53" w:rsidRDefault="00016B53" w:rsidP="00016B53">
      <w:pPr>
        <w:ind w:leftChars="200" w:left="480"/>
        <w:rPr>
          <w:rFonts w:eastAsia="Batang" w:cs="Times"/>
          <w:bCs/>
          <w:i/>
          <w:sz w:val="14"/>
          <w:szCs w:val="20"/>
          <w:lang w:eastAsia="x-none"/>
        </w:rPr>
      </w:pPr>
      <w:r w:rsidRPr="00016B53">
        <w:rPr>
          <w:rFonts w:cs="Times"/>
          <w:bCs/>
          <w:i/>
          <w:sz w:val="20"/>
          <w:szCs w:val="20"/>
          <w:highlight w:val="green"/>
          <w:lang w:eastAsia="x-none"/>
        </w:rPr>
        <w:t>Agreement:</w:t>
      </w:r>
    </w:p>
    <w:p w14:paraId="7FDED05C" w14:textId="77777777" w:rsidR="00016B53" w:rsidRPr="00016B53" w:rsidRDefault="00016B53" w:rsidP="00016B53">
      <w:pPr>
        <w:numPr>
          <w:ilvl w:val="0"/>
          <w:numId w:val="44"/>
        </w:numPr>
        <w:ind w:leftChars="200" w:left="840"/>
        <w:rPr>
          <w:rFonts w:cs="Times"/>
          <w:bCs/>
          <w:i/>
          <w:sz w:val="20"/>
          <w:szCs w:val="20"/>
          <w:lang w:eastAsia="x-none"/>
        </w:rPr>
      </w:pPr>
      <w:r w:rsidRPr="00016B53">
        <w:rPr>
          <w:rFonts w:cs="Times"/>
          <w:bCs/>
          <w:i/>
          <w:sz w:val="20"/>
          <w:szCs w:val="20"/>
          <w:lang w:eastAsia="x-none"/>
        </w:rPr>
        <w:lastRenderedPageBreak/>
        <w:t>RRC parameter dl-</w:t>
      </w:r>
      <w:proofErr w:type="spellStart"/>
      <w:r w:rsidRPr="00016B53">
        <w:rPr>
          <w:rFonts w:cs="Times"/>
          <w:bCs/>
          <w:i/>
          <w:sz w:val="20"/>
          <w:szCs w:val="20"/>
          <w:lang w:eastAsia="x-none"/>
        </w:rPr>
        <w:t>DataToUL</w:t>
      </w:r>
      <w:proofErr w:type="spellEnd"/>
      <w:r w:rsidRPr="00016B53">
        <w:rPr>
          <w:rFonts w:cs="Times"/>
          <w:bCs/>
          <w:i/>
          <w:sz w:val="20"/>
          <w:szCs w:val="20"/>
          <w:lang w:eastAsia="x-none"/>
        </w:rPr>
        <w:t>-ACK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04FA6C7F" w14:textId="77777777" w:rsidR="00016B53" w:rsidRPr="00016B53" w:rsidRDefault="00016B53" w:rsidP="00016B53">
      <w:pPr>
        <w:ind w:leftChars="200" w:left="480"/>
        <w:rPr>
          <w:rFonts w:cs="Times"/>
          <w:bCs/>
          <w:i/>
          <w:sz w:val="20"/>
          <w:szCs w:val="20"/>
          <w:u w:val="single"/>
          <w:lang w:eastAsia="x-none"/>
        </w:rPr>
      </w:pPr>
      <w:r w:rsidRPr="00016B53">
        <w:rPr>
          <w:rFonts w:cs="Times"/>
          <w:bCs/>
          <w:i/>
          <w:sz w:val="20"/>
          <w:szCs w:val="20"/>
          <w:u w:val="single"/>
          <w:lang w:eastAsia="x-none"/>
        </w:rPr>
        <w:t>Conclusion:</w:t>
      </w:r>
    </w:p>
    <w:p w14:paraId="1620FC56" w14:textId="77777777" w:rsidR="00016B53" w:rsidRPr="00016B53" w:rsidRDefault="00016B53" w:rsidP="00016B53">
      <w:pPr>
        <w:numPr>
          <w:ilvl w:val="0"/>
          <w:numId w:val="44"/>
        </w:numPr>
        <w:ind w:leftChars="200" w:left="840"/>
        <w:rPr>
          <w:rFonts w:cs="Times"/>
          <w:bCs/>
          <w:i/>
          <w:sz w:val="20"/>
          <w:szCs w:val="20"/>
          <w:lang w:eastAsia="x-none"/>
        </w:rPr>
      </w:pPr>
      <w:r w:rsidRPr="00016B53">
        <w:rPr>
          <w:rFonts w:cs="Times"/>
          <w:bCs/>
          <w:i/>
          <w:sz w:val="20"/>
          <w:szCs w:val="20"/>
          <w:lang w:eastAsia="x-none"/>
        </w:rPr>
        <w:t>No additional value of K1 signaled by PDSCH-to-HARQ-timing-indicator needs to be introduced for the purpose of requesting feedback outside the COT (i.e. Alt3 in TR38.889 section 7.2.1.3.3)</w:t>
      </w:r>
    </w:p>
    <w:p w14:paraId="0A7D2B90" w14:textId="77777777" w:rsidR="00016B53" w:rsidRPr="00016B53" w:rsidRDefault="00016B53" w:rsidP="00016B53">
      <w:pPr>
        <w:numPr>
          <w:ilvl w:val="1"/>
          <w:numId w:val="44"/>
        </w:numPr>
        <w:ind w:leftChars="500" w:left="1560"/>
        <w:rPr>
          <w:rFonts w:cs="Times"/>
          <w:bCs/>
          <w:i/>
          <w:sz w:val="20"/>
          <w:szCs w:val="20"/>
          <w:lang w:eastAsia="x-none"/>
        </w:rPr>
      </w:pPr>
      <w:r w:rsidRPr="00016B53">
        <w:rPr>
          <w:rFonts w:cs="Times"/>
          <w:bCs/>
          <w:i/>
          <w:sz w:val="20"/>
          <w:szCs w:val="20"/>
          <w:lang w:eastAsia="x-none"/>
        </w:rPr>
        <w:t>Further discuss the details for determining the LBT type for the UE transmission of HARQ A/N feedback for this case</w:t>
      </w:r>
    </w:p>
    <w:p w14:paraId="7EFCEF40" w14:textId="77777777" w:rsidR="00016B53" w:rsidRPr="00016B53" w:rsidRDefault="00016B53" w:rsidP="00016B53">
      <w:pPr>
        <w:numPr>
          <w:ilvl w:val="1"/>
          <w:numId w:val="44"/>
        </w:numPr>
        <w:ind w:leftChars="500" w:left="1560"/>
        <w:rPr>
          <w:rFonts w:cs="Times"/>
          <w:bCs/>
          <w:i/>
          <w:sz w:val="20"/>
          <w:szCs w:val="20"/>
          <w:lang w:eastAsia="x-none"/>
        </w:rPr>
      </w:pPr>
      <w:r w:rsidRPr="00016B53">
        <w:rPr>
          <w:rFonts w:cs="Times"/>
          <w:bCs/>
          <w:i/>
          <w:sz w:val="20"/>
          <w:szCs w:val="20"/>
          <w:lang w:eastAsia="x-none"/>
        </w:rPr>
        <w:t>Further discuss whether additional values need to be introduced for the purpose of requesting feedback inside the COT</w:t>
      </w:r>
    </w:p>
    <w:p w14:paraId="48737671" w14:textId="77777777" w:rsidR="00016B53" w:rsidRPr="00016B53" w:rsidRDefault="00016B53" w:rsidP="00016B53">
      <w:pPr>
        <w:numPr>
          <w:ilvl w:val="2"/>
          <w:numId w:val="44"/>
        </w:numPr>
        <w:ind w:leftChars="800" w:left="2280"/>
        <w:rPr>
          <w:rFonts w:cs="Times"/>
          <w:bCs/>
          <w:i/>
          <w:sz w:val="20"/>
          <w:szCs w:val="20"/>
          <w:lang w:eastAsia="x-none"/>
        </w:rPr>
      </w:pPr>
      <w:r w:rsidRPr="00016B53">
        <w:rPr>
          <w:rFonts w:cs="Times"/>
          <w:bCs/>
          <w:i/>
          <w:sz w:val="20"/>
          <w:szCs w:val="20"/>
          <w:lang w:eastAsia="x-none"/>
        </w:rPr>
        <w:t>If additional values are introduced these can also be used for requesting feedback outside the COT</w:t>
      </w:r>
    </w:p>
    <w:p w14:paraId="1093A133" w14:textId="77777777" w:rsidR="00016B53" w:rsidRPr="00016B53" w:rsidRDefault="00016B53" w:rsidP="00016B53">
      <w:pPr>
        <w:numPr>
          <w:ilvl w:val="1"/>
          <w:numId w:val="44"/>
        </w:numPr>
        <w:ind w:leftChars="500" w:left="1560"/>
        <w:rPr>
          <w:rFonts w:cs="Times"/>
          <w:bCs/>
          <w:i/>
          <w:sz w:val="20"/>
          <w:szCs w:val="20"/>
          <w:lang w:eastAsia="x-none"/>
        </w:rPr>
      </w:pPr>
      <w:r w:rsidRPr="00016B53">
        <w:rPr>
          <w:rFonts w:cs="Times"/>
          <w:bCs/>
          <w:i/>
          <w:sz w:val="20"/>
          <w:szCs w:val="20"/>
          <w:lang w:eastAsia="x-none"/>
        </w:rPr>
        <w:t>Note: This does not necessitate that the UE needs to know whether the feedback is inside or outside the COT at the time when the feedback is requested</w:t>
      </w:r>
    </w:p>
    <w:p w14:paraId="5569C10D" w14:textId="77777777" w:rsidR="00016B53" w:rsidRPr="00016B53" w:rsidRDefault="00016B53" w:rsidP="00016B53">
      <w:pPr>
        <w:ind w:leftChars="200" w:left="480"/>
        <w:rPr>
          <w:rFonts w:eastAsia="Batang" w:cs="Times"/>
          <w:i/>
          <w:sz w:val="14"/>
          <w:szCs w:val="20"/>
          <w:lang w:eastAsia="x-none"/>
        </w:rPr>
      </w:pPr>
      <w:r w:rsidRPr="00016B53">
        <w:rPr>
          <w:rFonts w:cs="Times"/>
          <w:i/>
          <w:sz w:val="20"/>
          <w:szCs w:val="20"/>
          <w:highlight w:val="green"/>
          <w:lang w:eastAsia="x-none"/>
        </w:rPr>
        <w:t>Agreement:</w:t>
      </w:r>
    </w:p>
    <w:p w14:paraId="551FE7C3" w14:textId="77777777" w:rsidR="00016B53" w:rsidRPr="00016B53" w:rsidRDefault="00016B53" w:rsidP="00016B53">
      <w:pPr>
        <w:ind w:left="480"/>
        <w:rPr>
          <w:rFonts w:cs="Times"/>
          <w:i/>
          <w:sz w:val="20"/>
          <w:szCs w:val="20"/>
          <w:lang w:eastAsia="x-none"/>
        </w:rPr>
      </w:pPr>
      <w:r w:rsidRPr="00016B53">
        <w:rPr>
          <w:rFonts w:cs="Times"/>
          <w:i/>
          <w:sz w:val="20"/>
          <w:szCs w:val="20"/>
          <w:lang w:eastAsia="x-none"/>
        </w:rPr>
        <w:t>For enabling multiple opportunities for HARQ A/N transmission and for cross-COT HARQ-ACK feedback, at least the following is supported:</w:t>
      </w:r>
    </w:p>
    <w:p w14:paraId="440B0E17" w14:textId="77777777" w:rsidR="00016B53" w:rsidRPr="00016B53" w:rsidRDefault="00016B53" w:rsidP="00016B53">
      <w:pPr>
        <w:ind w:left="480"/>
        <w:rPr>
          <w:rFonts w:cs="Times"/>
          <w:i/>
          <w:sz w:val="20"/>
          <w:szCs w:val="20"/>
          <w:lang w:eastAsia="x-none"/>
        </w:rPr>
      </w:pPr>
      <w:proofErr w:type="spellStart"/>
      <w:proofErr w:type="gramStart"/>
      <w:r w:rsidRPr="00016B53">
        <w:rPr>
          <w:rFonts w:cs="Times"/>
          <w:i/>
          <w:sz w:val="20"/>
          <w:szCs w:val="20"/>
          <w:lang w:eastAsia="x-none"/>
        </w:rPr>
        <w:t>gNB</w:t>
      </w:r>
      <w:proofErr w:type="spellEnd"/>
      <w:proofErr w:type="gramEnd"/>
      <w:r w:rsidRPr="00016B53">
        <w:rPr>
          <w:rFonts w:cs="Times"/>
          <w:i/>
          <w:sz w:val="20"/>
          <w:szCs w:val="20"/>
          <w:lang w:eastAsia="x-none"/>
        </w:rPr>
        <w:t xml:space="preserve"> requests/triggers feedback for PDSCH from earlier COT(s) or additional reporting of earlier HARQ feedback, where the exact HARQ feedback timing and resource is provided to the UE in another DCI (in the same or in another COT)</w:t>
      </w:r>
    </w:p>
    <w:p w14:paraId="3E4C4E61" w14:textId="77777777" w:rsidR="0058770D" w:rsidRPr="006973B0" w:rsidRDefault="0058770D" w:rsidP="0058770D">
      <w:pPr>
        <w:pStyle w:val="a5"/>
        <w:spacing w:afterLines="50" w:after="163"/>
        <w:jc w:val="both"/>
        <w:rPr>
          <w:rFonts w:eastAsia="ＭＳ 明朝"/>
          <w:sz w:val="22"/>
          <w:lang w:val="en-GB" w:eastAsia="ja-JP"/>
        </w:rPr>
      </w:pPr>
    </w:p>
    <w:p w14:paraId="49CA9C78" w14:textId="77777777" w:rsidR="001220E2" w:rsidRDefault="004D6898" w:rsidP="001220E2">
      <w:pPr>
        <w:pStyle w:val="1"/>
        <w:spacing w:beforeLines="50" w:before="163" w:afterLines="50" w:after="163"/>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5EA4ED38" w14:textId="77777777" w:rsidR="00951599" w:rsidRPr="00951599" w:rsidRDefault="00951599" w:rsidP="00951599">
      <w:pPr>
        <w:pStyle w:val="aff0"/>
        <w:numPr>
          <w:ilvl w:val="0"/>
          <w:numId w:val="39"/>
        </w:numPr>
        <w:ind w:firstLineChars="0"/>
        <w:jc w:val="both"/>
        <w:rPr>
          <w:rFonts w:eastAsia="ＭＳ 明朝"/>
          <w:vanish/>
          <w:lang w:eastAsia="ja-JP"/>
        </w:rPr>
      </w:pPr>
    </w:p>
    <w:p w14:paraId="0064E182" w14:textId="77777777" w:rsidR="00951599" w:rsidRPr="00951599" w:rsidRDefault="00951599" w:rsidP="00951599">
      <w:pPr>
        <w:pStyle w:val="aff0"/>
        <w:numPr>
          <w:ilvl w:val="0"/>
          <w:numId w:val="39"/>
        </w:numPr>
        <w:ind w:firstLineChars="0"/>
        <w:jc w:val="both"/>
        <w:rPr>
          <w:rFonts w:eastAsia="ＭＳ 明朝"/>
          <w:vanish/>
          <w:lang w:eastAsia="ja-JP"/>
        </w:rPr>
      </w:pPr>
    </w:p>
    <w:p w14:paraId="27C13EE1" w14:textId="5FB8AA65" w:rsidR="00864EA7" w:rsidRPr="00E141D1" w:rsidRDefault="00B73AD3" w:rsidP="0058770D">
      <w:pPr>
        <w:pStyle w:val="aff0"/>
        <w:numPr>
          <w:ilvl w:val="1"/>
          <w:numId w:val="39"/>
        </w:numPr>
        <w:ind w:firstLineChars="0"/>
        <w:jc w:val="both"/>
        <w:rPr>
          <w:rFonts w:eastAsia="ＭＳ 明朝"/>
          <w:lang w:eastAsia="ja-JP"/>
        </w:rPr>
      </w:pPr>
      <w:r>
        <w:rPr>
          <w:rFonts w:eastAsia="ＭＳ 明朝"/>
          <w:lang w:eastAsia="ja-JP"/>
        </w:rPr>
        <w:t>HARQ A/N feedback for PDSCH</w:t>
      </w:r>
    </w:p>
    <w:p w14:paraId="52227E95" w14:textId="70536249" w:rsidR="00E141D1" w:rsidRDefault="002351BB" w:rsidP="00E141D1">
      <w:pPr>
        <w:rPr>
          <w:rFonts w:eastAsiaTheme="minorEastAsia"/>
          <w:lang w:eastAsia="zh-CN"/>
        </w:rPr>
      </w:pPr>
      <w:r>
        <w:rPr>
          <w:rFonts w:eastAsiaTheme="minorEastAsia"/>
          <w:noProof/>
          <w:lang w:eastAsia="ja-JP"/>
        </w:rPr>
        <w:drawing>
          <wp:inline distT="0" distB="0" distL="0" distR="0" wp14:anchorId="1E8A27DB" wp14:editId="49EE8F4B">
            <wp:extent cx="6110640" cy="1624680"/>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0640" cy="1624680"/>
                    </a:xfrm>
                    <a:prstGeom prst="rect">
                      <a:avLst/>
                    </a:prstGeom>
                    <a:noFill/>
                    <a:ln>
                      <a:noFill/>
                    </a:ln>
                  </pic:spPr>
                </pic:pic>
              </a:graphicData>
            </a:graphic>
          </wp:inline>
        </w:drawing>
      </w:r>
    </w:p>
    <w:p w14:paraId="105EF578" w14:textId="77777777" w:rsidR="00E141D1" w:rsidRDefault="00E141D1" w:rsidP="00E141D1">
      <w:pPr>
        <w:jc w:val="center"/>
        <w:rPr>
          <w:rFonts w:eastAsia="ＭＳ 明朝"/>
          <w:lang w:eastAsia="ja-JP"/>
        </w:rPr>
      </w:pPr>
      <w:r>
        <w:rPr>
          <w:rFonts w:eastAsia="ＭＳ 明朝" w:hint="eastAsia"/>
          <w:lang w:eastAsia="ja-JP"/>
        </w:rPr>
        <w:t>Fig.1 HARQ Feedback for PDSCH from earl</w:t>
      </w:r>
      <w:r>
        <w:rPr>
          <w:rFonts w:eastAsia="ＭＳ 明朝"/>
          <w:lang w:eastAsia="ja-JP"/>
        </w:rPr>
        <w:t>ier COT(s)</w:t>
      </w:r>
    </w:p>
    <w:p w14:paraId="25FBC02E" w14:textId="77777777" w:rsidR="00E141D1" w:rsidRPr="00677062" w:rsidRDefault="00E141D1" w:rsidP="00E141D1">
      <w:pPr>
        <w:rPr>
          <w:rFonts w:eastAsia="ＭＳ 明朝"/>
          <w:lang w:eastAsia="ja-JP"/>
        </w:rPr>
      </w:pPr>
    </w:p>
    <w:p w14:paraId="07B20290" w14:textId="44CFC4E1" w:rsidR="00FD4123" w:rsidRPr="00D801E6" w:rsidRDefault="00851BBD" w:rsidP="000A4947">
      <w:pPr>
        <w:jc w:val="both"/>
        <w:rPr>
          <w:rFonts w:eastAsia="ＭＳ 明朝"/>
          <w:lang w:eastAsia="ja-JP"/>
        </w:rPr>
      </w:pPr>
      <w:r w:rsidRPr="00D801E6">
        <w:rPr>
          <w:rFonts w:eastAsia="ＭＳ 明朝" w:hint="eastAsia"/>
          <w:lang w:eastAsia="ja-JP"/>
        </w:rPr>
        <w:t xml:space="preserve">It has been agreed to support that </w:t>
      </w:r>
      <w:r w:rsidRPr="00D801E6">
        <w:rPr>
          <w:rFonts w:eastAsia="ＭＳ 明朝"/>
          <w:lang w:eastAsia="ja-JP"/>
        </w:rPr>
        <w:t xml:space="preserve">a </w:t>
      </w:r>
      <w:proofErr w:type="spellStart"/>
      <w:r w:rsidRPr="00D801E6">
        <w:rPr>
          <w:rFonts w:eastAsia="ＭＳ 明朝" w:hint="eastAsia"/>
          <w:lang w:eastAsia="ja-JP"/>
        </w:rPr>
        <w:t>gNB</w:t>
      </w:r>
      <w:proofErr w:type="spellEnd"/>
      <w:r w:rsidRPr="00D801E6">
        <w:rPr>
          <w:rFonts w:eastAsia="ＭＳ 明朝" w:hint="eastAsia"/>
          <w:lang w:eastAsia="ja-JP"/>
        </w:rPr>
        <w:t xml:space="preserve"> requests/triggers feedback for PDSCH from earlier COT(s) or additional reporting of earlier HARQ</w:t>
      </w:r>
      <w:r w:rsidRPr="00D801E6">
        <w:rPr>
          <w:rFonts w:eastAsia="ＭＳ 明朝"/>
          <w:lang w:eastAsia="ja-JP"/>
        </w:rPr>
        <w:t>.</w:t>
      </w:r>
      <w:r w:rsidR="00751089" w:rsidRPr="00D801E6">
        <w:rPr>
          <w:rFonts w:eastAsia="ＭＳ 明朝"/>
          <w:lang w:eastAsia="ja-JP"/>
        </w:rPr>
        <w:t xml:space="preserve"> </w:t>
      </w:r>
      <w:r w:rsidR="00D801E6" w:rsidRPr="007D11D5">
        <w:rPr>
          <w:rFonts w:eastAsia="ＭＳ 明朝"/>
          <w:lang w:eastAsia="ja-JP"/>
        </w:rPr>
        <w:t>The feedback for PDSCH fro</w:t>
      </w:r>
      <w:r w:rsidR="00D801E6" w:rsidRPr="00D801E6">
        <w:rPr>
          <w:rFonts w:eastAsia="ＭＳ 明朝"/>
          <w:lang w:eastAsia="ja-JP"/>
        </w:rPr>
        <w:t>m earlier COT(s) could be triggered by a scheduling DCI for PDSCH in current COT or an independent DCI without scheduling any PDSCH.</w:t>
      </w:r>
      <w:r w:rsidR="00A8118D" w:rsidRPr="00D801E6">
        <w:rPr>
          <w:rFonts w:eastAsia="ＭＳ 明朝"/>
          <w:lang w:eastAsia="ja-JP"/>
        </w:rPr>
        <w:t xml:space="preserve"> </w:t>
      </w:r>
      <w:r w:rsidR="00D801E6">
        <w:rPr>
          <w:rFonts w:eastAsia="ＭＳ 明朝"/>
          <w:lang w:eastAsia="ja-JP"/>
        </w:rPr>
        <w:t xml:space="preserve">Both type of triggering can be done by using a window ID. As in Fig. 1, the window ID is used to indicate a group of PDSCHs for which the HARQ feedback are included in the same codebook. To align the </w:t>
      </w:r>
      <w:r w:rsidR="0054599A">
        <w:rPr>
          <w:rFonts w:eastAsia="ＭＳ 明朝"/>
          <w:lang w:eastAsia="ja-JP"/>
        </w:rPr>
        <w:t xml:space="preserve">understanding of </w:t>
      </w:r>
      <w:r w:rsidR="00D801E6">
        <w:rPr>
          <w:rFonts w:eastAsia="ＭＳ 明朝"/>
          <w:lang w:eastAsia="ja-JP"/>
        </w:rPr>
        <w:t>HARQ codebook size</w:t>
      </w:r>
      <w:r w:rsidR="0054599A">
        <w:rPr>
          <w:rFonts w:eastAsia="ＭＳ 明朝"/>
          <w:lang w:eastAsia="ja-JP"/>
        </w:rPr>
        <w:t xml:space="preserve"> between the </w:t>
      </w:r>
      <w:proofErr w:type="spellStart"/>
      <w:r w:rsidR="0054599A">
        <w:rPr>
          <w:rFonts w:eastAsia="ＭＳ 明朝"/>
          <w:lang w:eastAsia="ja-JP"/>
        </w:rPr>
        <w:t>gNB</w:t>
      </w:r>
      <w:proofErr w:type="spellEnd"/>
      <w:r w:rsidR="0054599A">
        <w:rPr>
          <w:rFonts w:eastAsia="ＭＳ 明朝"/>
          <w:lang w:eastAsia="ja-JP"/>
        </w:rPr>
        <w:t xml:space="preserve"> and the UE, the window ID of the triggered feedback for earlier COT(s) and the </w:t>
      </w:r>
      <w:r w:rsidR="00F50FE6">
        <w:rPr>
          <w:rFonts w:eastAsia="ＭＳ 明朝"/>
          <w:lang w:eastAsia="ja-JP"/>
        </w:rPr>
        <w:t xml:space="preserve">window ID </w:t>
      </w:r>
      <w:r w:rsidR="005851CE">
        <w:rPr>
          <w:rFonts w:eastAsia="ＭＳ 明朝"/>
          <w:lang w:eastAsia="ja-JP"/>
        </w:rPr>
        <w:t>of</w:t>
      </w:r>
      <w:r w:rsidR="00F50FE6">
        <w:rPr>
          <w:rFonts w:eastAsia="ＭＳ 明朝"/>
          <w:lang w:eastAsia="ja-JP"/>
        </w:rPr>
        <w:t xml:space="preserve"> t</w:t>
      </w:r>
      <w:r w:rsidR="005851CE">
        <w:rPr>
          <w:rFonts w:eastAsia="ＭＳ 明朝"/>
          <w:lang w:eastAsia="ja-JP"/>
        </w:rPr>
        <w:t>he scheduled PDSCH</w:t>
      </w:r>
      <w:r w:rsidR="00F50FE6">
        <w:rPr>
          <w:rFonts w:eastAsia="ＭＳ 明朝"/>
          <w:lang w:eastAsia="ja-JP"/>
        </w:rPr>
        <w:t xml:space="preserve"> need to be indicated explicitly in the DCI.</w:t>
      </w:r>
    </w:p>
    <w:p w14:paraId="4A6DC739" w14:textId="72F3A7DD" w:rsidR="00E141D1" w:rsidRPr="00ED29F6" w:rsidRDefault="00F50FE6" w:rsidP="000A4947">
      <w:pPr>
        <w:jc w:val="both"/>
        <w:rPr>
          <w:rFonts w:eastAsia="ＭＳ 明朝"/>
          <w:lang w:eastAsia="ja-JP"/>
        </w:rPr>
      </w:pPr>
      <w:r w:rsidRPr="007D11D5">
        <w:rPr>
          <w:rFonts w:eastAsia="ＭＳ 明朝"/>
          <w:lang w:eastAsia="ja-JP"/>
        </w:rPr>
        <w:t>In addition, a value “X” signaled by PDSCH-to-HARQ-timing-indicator can be used to indicate that the exact HARQ feedback timing is not provided by current DCI.</w:t>
      </w:r>
      <w:r w:rsidR="005851CE">
        <w:rPr>
          <w:rFonts w:eastAsia="ＭＳ 明朝"/>
          <w:lang w:eastAsia="ja-JP"/>
        </w:rPr>
        <w:t xml:space="preserve"> The </w:t>
      </w:r>
      <w:r w:rsidR="00ED29F6">
        <w:rPr>
          <w:rFonts w:eastAsia="ＭＳ 明朝"/>
          <w:lang w:eastAsia="ja-JP"/>
        </w:rPr>
        <w:t xml:space="preserve">HARQ feedback </w:t>
      </w:r>
      <w:r w:rsidR="005851CE">
        <w:rPr>
          <w:rFonts w:eastAsia="ＭＳ 明朝"/>
          <w:lang w:eastAsia="ja-JP"/>
        </w:rPr>
        <w:t xml:space="preserve">timing </w:t>
      </w:r>
      <w:r w:rsidR="00ED29F6">
        <w:rPr>
          <w:rFonts w:eastAsia="ＭＳ 明朝"/>
          <w:lang w:eastAsia="ja-JP"/>
        </w:rPr>
        <w:t>of those PDSCHs without explicit indication in the scheduling DCI can just follow the feedback timing for the PDSCH in the same window.</w:t>
      </w:r>
      <w:r w:rsidR="006A6394">
        <w:rPr>
          <w:rFonts w:eastAsia="ＭＳ 明朝"/>
          <w:lang w:eastAsia="ja-JP"/>
        </w:rPr>
        <w:t xml:space="preserve"> Feedback for PDSCH from earlier COT</w:t>
      </w:r>
      <w:r w:rsidR="00ED29F6">
        <w:rPr>
          <w:rFonts w:eastAsia="ＭＳ 明朝"/>
          <w:lang w:eastAsia="ja-JP"/>
        </w:rPr>
        <w:t xml:space="preserve"> </w:t>
      </w:r>
      <w:r w:rsidR="006A6394">
        <w:rPr>
          <w:rFonts w:eastAsia="ＭＳ 明朝"/>
          <w:lang w:eastAsia="ja-JP"/>
        </w:rPr>
        <w:t xml:space="preserve">is triggered by explicit indication in the DCI. </w:t>
      </w:r>
      <w:r w:rsidR="00F45CD7" w:rsidRPr="00F50FE6">
        <w:rPr>
          <w:rFonts w:eastAsia="ＭＳ 明朝"/>
          <w:lang w:eastAsia="ja-JP"/>
        </w:rPr>
        <w:t>In Fig.1,</w:t>
      </w:r>
      <w:r w:rsidR="00523F91" w:rsidRPr="00F50FE6">
        <w:rPr>
          <w:rFonts w:eastAsia="ＭＳ 明朝"/>
          <w:lang w:eastAsia="ja-JP"/>
        </w:rPr>
        <w:t xml:space="preserve"> </w:t>
      </w:r>
      <w:r w:rsidR="006A6394">
        <w:rPr>
          <w:rFonts w:eastAsia="ＭＳ 明朝"/>
          <w:lang w:eastAsia="ja-JP"/>
        </w:rPr>
        <w:t>t</w:t>
      </w:r>
      <w:r w:rsidR="00EF33AD" w:rsidRPr="00F50FE6">
        <w:rPr>
          <w:rFonts w:eastAsia="ＭＳ 明朝"/>
          <w:lang w:eastAsia="ja-JP"/>
        </w:rPr>
        <w:t xml:space="preserve">he </w:t>
      </w:r>
      <w:r w:rsidR="00F45CD7" w:rsidRPr="00F50FE6">
        <w:rPr>
          <w:rFonts w:eastAsia="ＭＳ 明朝"/>
          <w:lang w:eastAsia="ja-JP"/>
        </w:rPr>
        <w:t>HARQ</w:t>
      </w:r>
      <w:r w:rsidR="006A6394">
        <w:rPr>
          <w:rFonts w:eastAsia="ＭＳ 明朝"/>
          <w:lang w:eastAsia="ja-JP"/>
        </w:rPr>
        <w:t xml:space="preserve"> feedback for PDSCHs in Window#0 and Window#1</w:t>
      </w:r>
      <w:r w:rsidR="00F45CD7" w:rsidRPr="00F50FE6">
        <w:rPr>
          <w:rFonts w:eastAsia="ＭＳ 明朝"/>
          <w:lang w:eastAsia="ja-JP"/>
        </w:rPr>
        <w:t xml:space="preserve"> </w:t>
      </w:r>
      <w:r w:rsidR="00727B5A">
        <w:rPr>
          <w:rFonts w:eastAsia="ＭＳ 明朝"/>
          <w:lang w:eastAsia="ja-JP"/>
        </w:rPr>
        <w:t>is</w:t>
      </w:r>
      <w:r w:rsidR="00F45CD7" w:rsidRPr="00F50FE6">
        <w:rPr>
          <w:rFonts w:eastAsia="ＭＳ 明朝"/>
          <w:lang w:eastAsia="ja-JP"/>
        </w:rPr>
        <w:t xml:space="preserve"> triggered by the scheduling DCIs for PDSCHs in Window#2.</w:t>
      </w:r>
      <w:r w:rsidR="006A6394">
        <w:rPr>
          <w:rFonts w:eastAsia="ＭＳ 明朝"/>
          <w:lang w:eastAsia="ja-JP"/>
        </w:rPr>
        <w:t xml:space="preserve"> A bitmap for the window</w:t>
      </w:r>
      <w:r w:rsidR="00727B5A">
        <w:rPr>
          <w:rFonts w:eastAsia="ＭＳ 明朝"/>
          <w:lang w:eastAsia="ja-JP"/>
        </w:rPr>
        <w:t>s</w:t>
      </w:r>
      <w:r w:rsidR="006A6394">
        <w:rPr>
          <w:rFonts w:eastAsia="ＭＳ 明朝"/>
          <w:lang w:eastAsia="ja-JP"/>
        </w:rPr>
        <w:t xml:space="preserve"> can be used to indicate the HARQ feedbacks for PDSCHs from earlier COT(s).</w:t>
      </w:r>
    </w:p>
    <w:p w14:paraId="5169B883" w14:textId="77777777" w:rsidR="00903A49" w:rsidRPr="007E39DB" w:rsidRDefault="00903A49" w:rsidP="002E76F4">
      <w:pPr>
        <w:jc w:val="both"/>
        <w:rPr>
          <w:rFonts w:eastAsiaTheme="minorEastAsia"/>
          <w:highlight w:val="yellow"/>
          <w:lang w:eastAsia="zh-CN"/>
        </w:rPr>
      </w:pPr>
    </w:p>
    <w:p w14:paraId="34DCDCEF" w14:textId="46BFD55C" w:rsidR="00E14B21" w:rsidRPr="002E76F4" w:rsidRDefault="00B73AD3" w:rsidP="002E76F4">
      <w:pPr>
        <w:jc w:val="both"/>
        <w:rPr>
          <w:b/>
          <w:lang w:val="en-GB" w:eastAsia="zh-CN"/>
        </w:rPr>
      </w:pPr>
      <w:r w:rsidRPr="002E76F4">
        <w:rPr>
          <w:b/>
          <w:lang w:val="en-GB" w:eastAsia="zh-CN"/>
        </w:rPr>
        <w:t>Proposal 1</w:t>
      </w:r>
      <w:r w:rsidR="005E0F8D" w:rsidRPr="002E76F4">
        <w:rPr>
          <w:b/>
          <w:lang w:val="en-GB" w:eastAsia="zh-CN"/>
        </w:rPr>
        <w:t xml:space="preserve">: </w:t>
      </w:r>
      <w:r w:rsidR="00F50FE6" w:rsidRPr="002E76F4">
        <w:rPr>
          <w:b/>
          <w:lang w:val="en-GB" w:eastAsia="zh-CN"/>
        </w:rPr>
        <w:t>To support cross-COT HARQ</w:t>
      </w:r>
      <w:r w:rsidR="007E39DB" w:rsidRPr="002E76F4">
        <w:rPr>
          <w:b/>
          <w:lang w:val="en-GB" w:eastAsia="zh-CN"/>
        </w:rPr>
        <w:t xml:space="preserve"> feedback</w:t>
      </w:r>
      <w:r w:rsidR="00AF1A8B" w:rsidRPr="002E76F4">
        <w:rPr>
          <w:b/>
          <w:lang w:val="en-GB" w:eastAsia="zh-CN"/>
        </w:rPr>
        <w:t>, a</w:t>
      </w:r>
      <w:r w:rsidR="00F45CD7" w:rsidRPr="002E76F4">
        <w:rPr>
          <w:b/>
          <w:lang w:val="en-GB" w:eastAsia="zh-CN"/>
        </w:rPr>
        <w:t xml:space="preserve"> window ID is </w:t>
      </w:r>
      <w:r w:rsidR="00F50FE6" w:rsidRPr="002E76F4">
        <w:rPr>
          <w:b/>
          <w:lang w:val="en-GB" w:eastAsia="zh-CN"/>
        </w:rPr>
        <w:t>used to indicate which group the scheduled PDSCH belongs to in term</w:t>
      </w:r>
      <w:r w:rsidR="000C1B11">
        <w:rPr>
          <w:b/>
          <w:lang w:val="en-GB" w:eastAsia="zh-CN"/>
        </w:rPr>
        <w:t>s</w:t>
      </w:r>
      <w:r w:rsidR="00F50FE6" w:rsidRPr="002E76F4">
        <w:rPr>
          <w:b/>
          <w:lang w:val="en-GB" w:eastAsia="zh-CN"/>
        </w:rPr>
        <w:t xml:space="preserve"> of HARQ feedback </w:t>
      </w:r>
      <w:r w:rsidR="000C1B11">
        <w:rPr>
          <w:b/>
          <w:lang w:val="en-GB" w:eastAsia="zh-CN"/>
        </w:rPr>
        <w:t>timing</w:t>
      </w:r>
      <w:r w:rsidR="00F45CD7" w:rsidRPr="002E76F4">
        <w:rPr>
          <w:b/>
          <w:lang w:val="en-GB" w:eastAsia="zh-CN"/>
        </w:rPr>
        <w:t xml:space="preserve">. </w:t>
      </w:r>
    </w:p>
    <w:p w14:paraId="747213CE" w14:textId="6ED69A99" w:rsidR="00AF1A8B" w:rsidRPr="002E76F4" w:rsidRDefault="00727B5A" w:rsidP="002E76F4">
      <w:pPr>
        <w:pStyle w:val="aff0"/>
        <w:numPr>
          <w:ilvl w:val="0"/>
          <w:numId w:val="45"/>
        </w:numPr>
        <w:ind w:firstLineChars="0"/>
        <w:jc w:val="both"/>
        <w:rPr>
          <w:rFonts w:eastAsiaTheme="minorEastAsia"/>
          <w:u w:val="single"/>
          <w:lang w:val="en-GB" w:eastAsia="zh-CN"/>
        </w:rPr>
      </w:pPr>
      <w:r>
        <w:rPr>
          <w:b/>
          <w:lang w:val="en-GB" w:eastAsia="ja-JP"/>
        </w:rPr>
        <w:t xml:space="preserve">HARQ feedback for </w:t>
      </w:r>
      <w:r w:rsidR="00F45CD7" w:rsidRPr="002E76F4">
        <w:rPr>
          <w:rFonts w:hint="eastAsia"/>
          <w:b/>
          <w:lang w:val="en-GB" w:eastAsia="ja-JP"/>
        </w:rPr>
        <w:t xml:space="preserve">PDSCHs </w:t>
      </w:r>
      <w:r w:rsidR="00AF1A8B" w:rsidRPr="002E76F4">
        <w:rPr>
          <w:b/>
          <w:lang w:val="en-GB" w:eastAsia="ja-JP"/>
        </w:rPr>
        <w:t xml:space="preserve">in </w:t>
      </w:r>
      <w:r w:rsidR="000C1B11">
        <w:rPr>
          <w:b/>
          <w:lang w:val="en-GB" w:eastAsia="ja-JP"/>
        </w:rPr>
        <w:t>a</w:t>
      </w:r>
      <w:r w:rsidR="00AF1A8B" w:rsidRPr="002E76F4">
        <w:rPr>
          <w:b/>
          <w:lang w:val="en-GB" w:eastAsia="ja-JP"/>
        </w:rPr>
        <w:t xml:space="preserve"> same window </w:t>
      </w:r>
      <w:r>
        <w:rPr>
          <w:b/>
          <w:lang w:val="en-GB" w:eastAsia="ja-JP"/>
        </w:rPr>
        <w:t xml:space="preserve">is included in </w:t>
      </w:r>
      <w:r w:rsidR="000C1B11">
        <w:rPr>
          <w:b/>
          <w:lang w:val="en-GB" w:eastAsia="ja-JP"/>
        </w:rPr>
        <w:t>a</w:t>
      </w:r>
      <w:r>
        <w:rPr>
          <w:b/>
          <w:lang w:val="en-GB" w:eastAsia="ja-JP"/>
        </w:rPr>
        <w:t xml:space="preserve"> same codebook by default. </w:t>
      </w:r>
    </w:p>
    <w:p w14:paraId="05094708" w14:textId="6CC0ACE3" w:rsidR="00EA4295" w:rsidRPr="00EB209E" w:rsidRDefault="00AF1A8B" w:rsidP="002E76F4">
      <w:pPr>
        <w:pStyle w:val="aff0"/>
        <w:numPr>
          <w:ilvl w:val="0"/>
          <w:numId w:val="45"/>
        </w:numPr>
        <w:ind w:firstLineChars="0"/>
        <w:jc w:val="both"/>
        <w:rPr>
          <w:b/>
          <w:lang w:val="en-GB" w:eastAsia="ja-JP"/>
        </w:rPr>
      </w:pPr>
      <w:r w:rsidRPr="00EB209E">
        <w:rPr>
          <w:b/>
          <w:lang w:val="en-GB" w:eastAsia="ja-JP"/>
        </w:rPr>
        <w:t>HARQ feedback for PDSCH</w:t>
      </w:r>
      <w:r w:rsidR="001C597A">
        <w:rPr>
          <w:b/>
          <w:lang w:val="en-GB" w:eastAsia="ja-JP"/>
        </w:rPr>
        <w:t>s</w:t>
      </w:r>
      <w:r w:rsidR="007E39DB" w:rsidRPr="00EB209E">
        <w:rPr>
          <w:b/>
          <w:lang w:val="en-GB" w:eastAsia="ja-JP"/>
        </w:rPr>
        <w:t xml:space="preserve"> f</w:t>
      </w:r>
      <w:r w:rsidRPr="00EB209E">
        <w:rPr>
          <w:b/>
          <w:lang w:val="en-GB" w:eastAsia="ja-JP"/>
        </w:rPr>
        <w:t>r</w:t>
      </w:r>
      <w:r w:rsidR="007E39DB" w:rsidRPr="00EB209E">
        <w:rPr>
          <w:b/>
          <w:lang w:val="en-GB" w:eastAsia="ja-JP"/>
        </w:rPr>
        <w:t>om</w:t>
      </w:r>
      <w:r w:rsidRPr="00EB209E">
        <w:rPr>
          <w:b/>
          <w:lang w:val="en-GB" w:eastAsia="ja-JP"/>
        </w:rPr>
        <w:t xml:space="preserve"> earlier COTs is triggered by expl</w:t>
      </w:r>
      <w:r w:rsidR="001C597A">
        <w:rPr>
          <w:b/>
          <w:lang w:val="en-GB" w:eastAsia="ja-JP"/>
        </w:rPr>
        <w:t>icit indication of the window in the DCI</w:t>
      </w:r>
      <w:r w:rsidRPr="00EB209E">
        <w:rPr>
          <w:b/>
          <w:lang w:val="en-GB" w:eastAsia="ja-JP"/>
        </w:rPr>
        <w:t>.</w:t>
      </w:r>
    </w:p>
    <w:p w14:paraId="04BD929B" w14:textId="77777777" w:rsidR="000D38DE" w:rsidRPr="001C597A" w:rsidRDefault="000D38DE" w:rsidP="002E76F4">
      <w:pPr>
        <w:jc w:val="both"/>
        <w:rPr>
          <w:rFonts w:eastAsiaTheme="minorEastAsia"/>
          <w:highlight w:val="yellow"/>
          <w:u w:val="single"/>
          <w:lang w:val="en-GB" w:eastAsia="zh-CN"/>
        </w:rPr>
      </w:pPr>
    </w:p>
    <w:p w14:paraId="7084D07A" w14:textId="4922003C" w:rsidR="00F65933" w:rsidRPr="00EB209E" w:rsidRDefault="000E155D" w:rsidP="002E76F4">
      <w:pPr>
        <w:jc w:val="both"/>
        <w:rPr>
          <w:rFonts w:eastAsia="ＭＳ 明朝"/>
          <w:lang w:val="en-GB" w:eastAsia="ja-JP"/>
        </w:rPr>
      </w:pPr>
      <w:r w:rsidRPr="00EB209E">
        <w:rPr>
          <w:rFonts w:eastAsia="ＭＳ 明朝"/>
          <w:lang w:val="en-GB" w:eastAsia="ja-JP"/>
        </w:rPr>
        <w:t xml:space="preserve">According to ETSI EN 301 893, a DL burst may last up to 6ms. In case of SCS of </w:t>
      </w:r>
      <w:proofErr w:type="gramStart"/>
      <w:r w:rsidRPr="00EB209E">
        <w:rPr>
          <w:rFonts w:eastAsia="ＭＳ 明朝"/>
          <w:lang w:val="en-GB" w:eastAsia="ja-JP"/>
        </w:rPr>
        <w:t>30kHz</w:t>
      </w:r>
      <w:proofErr w:type="gramEnd"/>
      <w:r w:rsidRPr="00EB209E">
        <w:rPr>
          <w:rFonts w:eastAsia="ＭＳ 明朝"/>
          <w:lang w:val="en-GB" w:eastAsia="ja-JP"/>
        </w:rPr>
        <w:t xml:space="preserve"> or 60kHz, more than 10 </w:t>
      </w:r>
      <w:r w:rsidR="00EB209E" w:rsidRPr="00EB209E">
        <w:rPr>
          <w:rFonts w:eastAsia="ＭＳ 明朝"/>
          <w:lang w:val="en-GB" w:eastAsia="ja-JP"/>
        </w:rPr>
        <w:t>full/partial</w:t>
      </w:r>
      <w:r w:rsidR="000E5D6D" w:rsidRPr="00EB209E">
        <w:rPr>
          <w:rFonts w:eastAsia="ＭＳ 明朝"/>
          <w:lang w:val="en-GB" w:eastAsia="ja-JP"/>
        </w:rPr>
        <w:t xml:space="preserve"> </w:t>
      </w:r>
      <w:r w:rsidRPr="00EB209E">
        <w:rPr>
          <w:rFonts w:eastAsia="ＭＳ 明朝"/>
          <w:lang w:val="en-GB" w:eastAsia="ja-JP"/>
        </w:rPr>
        <w:t xml:space="preserve">slots can be included in the DL burst. To </w:t>
      </w:r>
      <w:r w:rsidR="000E5D6D" w:rsidRPr="00EB209E">
        <w:rPr>
          <w:rFonts w:eastAsia="ＭＳ 明朝"/>
          <w:lang w:val="en-GB" w:eastAsia="ja-JP"/>
        </w:rPr>
        <w:t>maintain</w:t>
      </w:r>
      <w:r w:rsidRPr="00EB209E">
        <w:rPr>
          <w:rFonts w:eastAsia="ＭＳ 明朝"/>
          <w:lang w:val="en-GB" w:eastAsia="ja-JP"/>
        </w:rPr>
        <w:t xml:space="preserve"> the </w:t>
      </w:r>
      <w:r w:rsidR="00021CF9" w:rsidRPr="00EB209E">
        <w:rPr>
          <w:rFonts w:eastAsia="ＭＳ 明朝"/>
          <w:lang w:val="en-GB" w:eastAsia="ja-JP"/>
        </w:rPr>
        <w:t xml:space="preserve">scheduling </w:t>
      </w:r>
      <w:r w:rsidRPr="00EB209E">
        <w:rPr>
          <w:rFonts w:eastAsia="ＭＳ 明朝"/>
          <w:lang w:val="en-GB" w:eastAsia="ja-JP"/>
        </w:rPr>
        <w:t xml:space="preserve">flexibility </w:t>
      </w:r>
      <w:r w:rsidR="00021CF9" w:rsidRPr="00EB209E">
        <w:rPr>
          <w:rFonts w:eastAsia="ＭＳ 明朝"/>
          <w:lang w:val="en-GB" w:eastAsia="ja-JP"/>
        </w:rPr>
        <w:t xml:space="preserve">of the </w:t>
      </w:r>
      <w:proofErr w:type="spellStart"/>
      <w:r w:rsidR="00021CF9" w:rsidRPr="00EB209E">
        <w:rPr>
          <w:rFonts w:eastAsia="ＭＳ 明朝"/>
          <w:lang w:val="en-GB" w:eastAsia="ja-JP"/>
        </w:rPr>
        <w:t>gNB</w:t>
      </w:r>
      <w:proofErr w:type="spellEnd"/>
      <w:r w:rsidRPr="00EB209E">
        <w:rPr>
          <w:rFonts w:eastAsia="ＭＳ 明朝"/>
          <w:lang w:val="en-GB" w:eastAsia="ja-JP"/>
        </w:rPr>
        <w:t>, it is desirable to allow dynamic indication of a K1 value from more than 10 candidates. Therefore, the PDSCH-to-HARQ-timing-indicator field should be extended from 3 bits as defined in Rel-15.</w:t>
      </w:r>
    </w:p>
    <w:p w14:paraId="1A6A6B0F" w14:textId="77777777" w:rsidR="009208C2" w:rsidRPr="00EB209E" w:rsidRDefault="009208C2" w:rsidP="002E76F4">
      <w:pPr>
        <w:jc w:val="both"/>
        <w:rPr>
          <w:rFonts w:eastAsiaTheme="minorEastAsia"/>
          <w:lang w:val="en-GB" w:eastAsia="zh-CN"/>
        </w:rPr>
      </w:pPr>
    </w:p>
    <w:p w14:paraId="7A38D212" w14:textId="105B8B4B" w:rsidR="00EA4295" w:rsidRDefault="00EA4295" w:rsidP="002E76F4">
      <w:pPr>
        <w:jc w:val="both"/>
        <w:rPr>
          <w:b/>
          <w:lang w:val="en-GB" w:eastAsia="zh-CN"/>
        </w:rPr>
      </w:pPr>
      <w:r w:rsidRPr="00EB209E">
        <w:rPr>
          <w:b/>
          <w:lang w:val="en-GB" w:eastAsia="zh-CN"/>
        </w:rPr>
        <w:t xml:space="preserve">Proposal </w:t>
      </w:r>
      <w:r w:rsidR="002351BB" w:rsidRPr="00EB209E">
        <w:rPr>
          <w:b/>
          <w:lang w:val="en-GB" w:eastAsia="zh-CN"/>
        </w:rPr>
        <w:t>2</w:t>
      </w:r>
      <w:r w:rsidRPr="00EB209E">
        <w:rPr>
          <w:b/>
          <w:lang w:val="en-GB" w:eastAsia="zh-CN"/>
        </w:rPr>
        <w:t xml:space="preserve">: NR-U supports a dynamic indication of a K1 value from more than 10 candidates by </w:t>
      </w:r>
      <w:r w:rsidR="000E155D" w:rsidRPr="00EB209E">
        <w:rPr>
          <w:b/>
          <w:lang w:val="en-GB" w:eastAsia="zh-CN"/>
        </w:rPr>
        <w:t>increas</w:t>
      </w:r>
      <w:r w:rsidRPr="00EB209E">
        <w:rPr>
          <w:b/>
          <w:lang w:val="en-GB" w:eastAsia="zh-CN"/>
        </w:rPr>
        <w:t>ing the number of bits for PD</w:t>
      </w:r>
      <w:r w:rsidR="00EB209E" w:rsidRPr="00EB209E">
        <w:rPr>
          <w:b/>
          <w:lang w:val="en-GB" w:eastAsia="zh-CN"/>
        </w:rPr>
        <w:t>SCH-to-HARQ-timing-indicator fi</w:t>
      </w:r>
      <w:r w:rsidRPr="00EB209E">
        <w:rPr>
          <w:b/>
          <w:lang w:val="en-GB" w:eastAsia="zh-CN"/>
        </w:rPr>
        <w:t>e</w:t>
      </w:r>
      <w:r w:rsidR="00EB209E" w:rsidRPr="00EB209E">
        <w:rPr>
          <w:b/>
          <w:lang w:val="en-GB" w:eastAsia="zh-CN"/>
        </w:rPr>
        <w:t>l</w:t>
      </w:r>
      <w:r w:rsidRPr="00EB209E">
        <w:rPr>
          <w:b/>
          <w:lang w:val="en-GB" w:eastAsia="zh-CN"/>
        </w:rPr>
        <w:t>d.</w:t>
      </w:r>
    </w:p>
    <w:p w14:paraId="5A334303" w14:textId="77777777" w:rsidR="00EA4295" w:rsidRPr="009208C2" w:rsidRDefault="00EA4295" w:rsidP="00A51918">
      <w:pPr>
        <w:rPr>
          <w:rFonts w:eastAsiaTheme="minorEastAsia"/>
          <w:lang w:val="en-GB" w:eastAsia="zh-CN"/>
        </w:rPr>
      </w:pPr>
    </w:p>
    <w:p w14:paraId="7283F025" w14:textId="43A93622" w:rsidR="00951599" w:rsidRPr="00951599" w:rsidRDefault="00876770" w:rsidP="00480070">
      <w:pPr>
        <w:pStyle w:val="aff0"/>
        <w:numPr>
          <w:ilvl w:val="1"/>
          <w:numId w:val="39"/>
        </w:numPr>
        <w:ind w:firstLineChars="0"/>
        <w:jc w:val="both"/>
        <w:rPr>
          <w:rFonts w:eastAsia="ＭＳ 明朝"/>
          <w:lang w:eastAsia="ja-JP"/>
        </w:rPr>
      </w:pPr>
      <w:bookmarkStart w:id="3" w:name="OLE_LINK6"/>
      <w:bookmarkStart w:id="4" w:name="OLE_LINK7"/>
      <w:r>
        <w:rPr>
          <w:rFonts w:eastAsia="ＭＳ 明朝"/>
          <w:lang w:eastAsia="ja-JP"/>
        </w:rPr>
        <w:t>T</w:t>
      </w:r>
      <w:r w:rsidR="00B73AD3">
        <w:rPr>
          <w:rFonts w:eastAsia="ＭＳ 明朝"/>
          <w:lang w:eastAsia="ja-JP"/>
        </w:rPr>
        <w:t>wo-stage grant</w:t>
      </w:r>
    </w:p>
    <w:bookmarkEnd w:id="3"/>
    <w:bookmarkEnd w:id="4"/>
    <w:p w14:paraId="6B772726" w14:textId="20AEDA1F" w:rsidR="00653D44" w:rsidRDefault="00775ED8" w:rsidP="00775ED8">
      <w:pPr>
        <w:jc w:val="both"/>
        <w:rPr>
          <w:rFonts w:eastAsiaTheme="minorEastAsia"/>
          <w:lang w:eastAsia="zh-CN"/>
        </w:rPr>
      </w:pPr>
      <w:r w:rsidRPr="00BF011D">
        <w:rPr>
          <w:rFonts w:eastAsiaTheme="minorEastAsia"/>
          <w:lang w:eastAsia="zh-CN"/>
        </w:rPr>
        <w:t xml:space="preserve">For the case of </w:t>
      </w:r>
      <w:r w:rsidR="00153234" w:rsidRPr="00BF011D">
        <w:rPr>
          <w:rFonts w:eastAsiaTheme="minorEastAsia"/>
          <w:lang w:eastAsia="zh-CN"/>
        </w:rPr>
        <w:t xml:space="preserve">COT self-contain </w:t>
      </w:r>
      <w:r w:rsidRPr="00BF011D">
        <w:rPr>
          <w:rFonts w:eastAsiaTheme="minorEastAsia"/>
          <w:lang w:eastAsia="zh-CN"/>
        </w:rPr>
        <w:t>uplink</w:t>
      </w:r>
      <w:r w:rsidR="00153234" w:rsidRPr="00BF011D">
        <w:rPr>
          <w:rFonts w:eastAsiaTheme="minorEastAsia"/>
          <w:lang w:eastAsia="zh-CN"/>
        </w:rPr>
        <w:t xml:space="preserve"> </w:t>
      </w:r>
      <w:r w:rsidRPr="00BF011D">
        <w:rPr>
          <w:rFonts w:eastAsiaTheme="minorEastAsia"/>
          <w:lang w:eastAsia="zh-CN"/>
        </w:rPr>
        <w:t>scheduling</w:t>
      </w:r>
      <w:r w:rsidR="00CB5065" w:rsidRPr="00BF011D">
        <w:rPr>
          <w:rFonts w:eastAsiaTheme="minorEastAsia"/>
          <w:lang w:eastAsia="zh-CN"/>
        </w:rPr>
        <w:t xml:space="preserve"> </w:t>
      </w:r>
      <w:r w:rsidRPr="00BF011D">
        <w:rPr>
          <w:rFonts w:eastAsiaTheme="minorEastAsia"/>
          <w:lang w:eastAsia="zh-CN"/>
        </w:rPr>
        <w:t>in the unlicensed band</w:t>
      </w:r>
      <w:r w:rsidR="00CB5065" w:rsidRPr="007D11D5">
        <w:rPr>
          <w:rFonts w:eastAsiaTheme="minorEastAsia"/>
          <w:lang w:eastAsia="zh-CN"/>
        </w:rPr>
        <w:t xml:space="preserve">, </w:t>
      </w:r>
      <w:r w:rsidR="00592F95" w:rsidRPr="007D11D5">
        <w:rPr>
          <w:rFonts w:eastAsiaTheme="minorEastAsia"/>
          <w:lang w:eastAsia="zh-CN"/>
        </w:rPr>
        <w:t>the PUSCH preparation time limits the</w:t>
      </w:r>
      <w:r w:rsidR="00592F95">
        <w:rPr>
          <w:rFonts w:eastAsiaTheme="minorEastAsia"/>
          <w:lang w:eastAsia="zh-CN"/>
        </w:rPr>
        <w:t xml:space="preserve"> flexibility</w:t>
      </w:r>
      <w:r w:rsidR="0034119E">
        <w:rPr>
          <w:rFonts w:eastAsiaTheme="minorEastAsia"/>
          <w:lang w:eastAsia="zh-CN"/>
        </w:rPr>
        <w:t xml:space="preserve"> </w:t>
      </w:r>
      <w:r w:rsidR="007D11D5">
        <w:rPr>
          <w:rFonts w:eastAsiaTheme="minorEastAsia"/>
          <w:lang w:eastAsia="zh-CN"/>
        </w:rPr>
        <w:t xml:space="preserve">of </w:t>
      </w:r>
      <w:r w:rsidR="0034119E">
        <w:rPr>
          <w:rFonts w:eastAsiaTheme="minorEastAsia"/>
          <w:lang w:eastAsia="zh-CN"/>
        </w:rPr>
        <w:t>COT</w:t>
      </w:r>
      <w:r w:rsidR="00592F95">
        <w:rPr>
          <w:rFonts w:eastAsiaTheme="minorEastAsia"/>
          <w:lang w:eastAsia="zh-CN"/>
        </w:rPr>
        <w:t xml:space="preserve"> </w:t>
      </w:r>
      <w:r w:rsidR="007D11D5">
        <w:rPr>
          <w:rFonts w:eastAsiaTheme="minorEastAsia"/>
          <w:lang w:eastAsia="zh-CN"/>
        </w:rPr>
        <w:t>sharing. A</w:t>
      </w:r>
      <w:r w:rsidR="00592F95">
        <w:rPr>
          <w:rFonts w:eastAsiaTheme="minorEastAsia"/>
          <w:lang w:eastAsia="zh-CN"/>
        </w:rPr>
        <w:t xml:space="preserve"> UL transmission cannot be scheduled</w:t>
      </w:r>
      <w:r w:rsidR="007D11D5">
        <w:rPr>
          <w:rFonts w:eastAsiaTheme="minorEastAsia"/>
          <w:lang w:eastAsia="zh-CN"/>
        </w:rPr>
        <w:t xml:space="preserve"> to share </w:t>
      </w:r>
      <w:proofErr w:type="gramStart"/>
      <w:r w:rsidR="007D11D5">
        <w:rPr>
          <w:rFonts w:eastAsiaTheme="minorEastAsia"/>
          <w:lang w:eastAsia="zh-CN"/>
        </w:rPr>
        <w:t>a</w:t>
      </w:r>
      <w:proofErr w:type="gramEnd"/>
      <w:r w:rsidR="007D11D5">
        <w:rPr>
          <w:rFonts w:eastAsiaTheme="minorEastAsia"/>
          <w:lang w:eastAsia="zh-CN"/>
        </w:rPr>
        <w:t xml:space="preserve"> </w:t>
      </w:r>
      <w:proofErr w:type="spellStart"/>
      <w:r w:rsidR="007D11D5">
        <w:rPr>
          <w:rFonts w:eastAsiaTheme="minorEastAsia"/>
          <w:lang w:eastAsia="zh-CN"/>
        </w:rPr>
        <w:t>eNB</w:t>
      </w:r>
      <w:proofErr w:type="spellEnd"/>
      <w:r w:rsidR="007D11D5">
        <w:rPr>
          <w:rFonts w:eastAsiaTheme="minorEastAsia"/>
          <w:lang w:eastAsia="zh-CN"/>
        </w:rPr>
        <w:t>/</w:t>
      </w:r>
      <w:proofErr w:type="spellStart"/>
      <w:r w:rsidR="007D11D5">
        <w:rPr>
          <w:rFonts w:eastAsiaTheme="minorEastAsia"/>
          <w:lang w:eastAsia="zh-CN"/>
        </w:rPr>
        <w:t>gNB</w:t>
      </w:r>
      <w:proofErr w:type="spellEnd"/>
      <w:r w:rsidR="007D11D5">
        <w:rPr>
          <w:rFonts w:eastAsiaTheme="minorEastAsia"/>
          <w:lang w:eastAsia="zh-CN"/>
        </w:rPr>
        <w:t xml:space="preserve"> initiated COT if the PUSCH preparation time is not satisfied</w:t>
      </w:r>
      <w:r w:rsidR="00592F95">
        <w:rPr>
          <w:rFonts w:eastAsiaTheme="minorEastAsia"/>
          <w:lang w:eastAsia="zh-CN"/>
        </w:rPr>
        <w:t xml:space="preserve">. </w:t>
      </w:r>
      <w:r w:rsidR="00CE5ACD">
        <w:rPr>
          <w:rFonts w:eastAsiaTheme="minorEastAsia"/>
          <w:lang w:eastAsia="zh-CN"/>
        </w:rPr>
        <w:t xml:space="preserve">In LTE </w:t>
      </w:r>
      <w:proofErr w:type="spellStart"/>
      <w:r w:rsidR="00CE5ACD">
        <w:rPr>
          <w:rFonts w:eastAsiaTheme="minorEastAsia"/>
          <w:lang w:eastAsia="zh-CN"/>
        </w:rPr>
        <w:t>eLAA</w:t>
      </w:r>
      <w:proofErr w:type="spellEnd"/>
      <w:r w:rsidR="009C1CC0">
        <w:rPr>
          <w:rFonts w:eastAsiaTheme="minorEastAsia"/>
          <w:lang w:eastAsia="zh-CN"/>
        </w:rPr>
        <w:t>,</w:t>
      </w:r>
      <w:r w:rsidR="00CE5ACD">
        <w:rPr>
          <w:rFonts w:eastAsiaTheme="minorEastAsia"/>
          <w:lang w:eastAsia="zh-CN"/>
        </w:rPr>
        <w:t xml:space="preserve"> two-stage grant was introduced </w:t>
      </w:r>
      <w:r w:rsidR="00E2003A">
        <w:rPr>
          <w:rFonts w:eastAsiaTheme="minorEastAsia"/>
          <w:lang w:eastAsia="zh-CN"/>
        </w:rPr>
        <w:t xml:space="preserve">as an enhancement </w:t>
      </w:r>
      <w:r w:rsidR="00AC736B">
        <w:rPr>
          <w:rFonts w:eastAsiaTheme="minorEastAsia"/>
          <w:lang w:eastAsia="zh-CN"/>
        </w:rPr>
        <w:t>to</w:t>
      </w:r>
      <w:r w:rsidR="00E2003A">
        <w:rPr>
          <w:rFonts w:eastAsiaTheme="minorEastAsia"/>
          <w:lang w:eastAsia="zh-CN"/>
        </w:rPr>
        <w:t xml:space="preserve"> grant-based PUSCH. </w:t>
      </w:r>
      <w:r w:rsidR="00CE5ACD">
        <w:rPr>
          <w:rFonts w:eastAsiaTheme="minorEastAsia"/>
          <w:lang w:eastAsia="zh-CN"/>
        </w:rPr>
        <w:t xml:space="preserve">The </w:t>
      </w:r>
      <w:r w:rsidR="00653D44">
        <w:rPr>
          <w:rFonts w:eastAsiaTheme="minorEastAsia"/>
          <w:lang w:eastAsia="zh-CN"/>
        </w:rPr>
        <w:t>first-stage grant provide</w:t>
      </w:r>
      <w:r w:rsidR="00CE5ACD">
        <w:rPr>
          <w:rFonts w:eastAsiaTheme="minorEastAsia"/>
          <w:lang w:eastAsia="zh-CN"/>
        </w:rPr>
        <w:t>s</w:t>
      </w:r>
      <w:r w:rsidR="00653D44">
        <w:rPr>
          <w:rFonts w:eastAsiaTheme="minorEastAsia"/>
          <w:lang w:eastAsia="zh-CN"/>
        </w:rPr>
        <w:t xml:space="preserve"> the scheduling information </w:t>
      </w:r>
      <w:bookmarkStart w:id="5" w:name="OLE_LINK36"/>
      <w:bookmarkStart w:id="6" w:name="OLE_LINK37"/>
      <w:bookmarkStart w:id="7" w:name="OLE_LINK38"/>
      <w:r w:rsidR="00653D44">
        <w:rPr>
          <w:rFonts w:eastAsiaTheme="minorEastAsia"/>
          <w:lang w:eastAsia="zh-CN"/>
        </w:rPr>
        <w:t xml:space="preserve">for PUSCH preparation </w:t>
      </w:r>
      <w:bookmarkEnd w:id="5"/>
      <w:bookmarkEnd w:id="6"/>
      <w:bookmarkEnd w:id="7"/>
      <w:r w:rsidR="00CE5ACD">
        <w:rPr>
          <w:rFonts w:eastAsiaTheme="minorEastAsia"/>
          <w:lang w:eastAsia="zh-CN"/>
        </w:rPr>
        <w:t>in an earlier COT. The</w:t>
      </w:r>
      <w:r w:rsidR="00653D44">
        <w:rPr>
          <w:rFonts w:eastAsiaTheme="minorEastAsia"/>
          <w:lang w:eastAsia="zh-CN"/>
        </w:rPr>
        <w:t xml:space="preserve"> second-stage grant trigger</w:t>
      </w:r>
      <w:r w:rsidR="00CE5ACD">
        <w:rPr>
          <w:rFonts w:eastAsiaTheme="minorEastAsia"/>
          <w:lang w:eastAsia="zh-CN"/>
        </w:rPr>
        <w:t>s</w:t>
      </w:r>
      <w:r w:rsidR="00653D44">
        <w:rPr>
          <w:rFonts w:eastAsiaTheme="minorEastAsia"/>
          <w:lang w:eastAsia="zh-CN"/>
        </w:rPr>
        <w:t xml:space="preserve"> </w:t>
      </w:r>
      <w:r w:rsidR="00276AA8">
        <w:rPr>
          <w:rFonts w:eastAsiaTheme="minorEastAsia"/>
          <w:lang w:eastAsia="zh-CN"/>
        </w:rPr>
        <w:t xml:space="preserve">the prepared </w:t>
      </w:r>
      <w:r w:rsidR="00653D44">
        <w:rPr>
          <w:rFonts w:eastAsiaTheme="minorEastAsia"/>
          <w:lang w:eastAsia="zh-CN"/>
        </w:rPr>
        <w:t xml:space="preserve">PUSCH </w:t>
      </w:r>
      <w:r w:rsidR="00276AA8">
        <w:rPr>
          <w:rFonts w:eastAsiaTheme="minorEastAsia"/>
          <w:lang w:eastAsia="zh-CN"/>
        </w:rPr>
        <w:t xml:space="preserve">transmitted </w:t>
      </w:r>
      <w:r w:rsidR="00653D44">
        <w:rPr>
          <w:rFonts w:eastAsiaTheme="minorEastAsia"/>
          <w:lang w:eastAsia="zh-CN"/>
        </w:rPr>
        <w:t xml:space="preserve">in the </w:t>
      </w:r>
      <w:r w:rsidR="00276AA8">
        <w:rPr>
          <w:rFonts w:eastAsiaTheme="minorEastAsia"/>
          <w:lang w:eastAsia="zh-CN"/>
        </w:rPr>
        <w:t>current</w:t>
      </w:r>
      <w:r w:rsidR="00653D44">
        <w:rPr>
          <w:rFonts w:eastAsiaTheme="minorEastAsia"/>
          <w:lang w:eastAsia="zh-CN"/>
        </w:rPr>
        <w:t xml:space="preserve"> COT. This mechanism enables PUSCH to be transmitted in </w:t>
      </w:r>
      <w:r w:rsidR="00CE5ACD">
        <w:rPr>
          <w:rFonts w:eastAsiaTheme="minorEastAsia"/>
          <w:lang w:eastAsia="zh-CN"/>
        </w:rPr>
        <w:t xml:space="preserve">an </w:t>
      </w:r>
      <w:r w:rsidR="00653D44">
        <w:rPr>
          <w:rFonts w:eastAsiaTheme="minorEastAsia"/>
          <w:lang w:eastAsia="zh-CN"/>
        </w:rPr>
        <w:t>earlier time in a shared COT after a short DL burst.</w:t>
      </w:r>
    </w:p>
    <w:p w14:paraId="5525C029" w14:textId="6B3415A6" w:rsidR="00653D44" w:rsidRDefault="00653D44" w:rsidP="00653D44">
      <w:pPr>
        <w:jc w:val="both"/>
        <w:rPr>
          <w:rFonts w:eastAsiaTheme="minorEastAsia"/>
          <w:lang w:eastAsia="zh-CN"/>
        </w:rPr>
      </w:pPr>
      <w:r>
        <w:rPr>
          <w:rFonts w:eastAsiaTheme="minorEastAsia"/>
          <w:lang w:eastAsia="zh-CN"/>
        </w:rPr>
        <w:t>The same issue also exist</w:t>
      </w:r>
      <w:r w:rsidR="00E2003A">
        <w:rPr>
          <w:rFonts w:eastAsiaTheme="minorEastAsia"/>
          <w:lang w:eastAsia="zh-CN"/>
        </w:rPr>
        <w:t>s</w:t>
      </w:r>
      <w:r>
        <w:rPr>
          <w:rFonts w:eastAsiaTheme="minorEastAsia"/>
          <w:lang w:eastAsia="zh-CN"/>
        </w:rPr>
        <w:t xml:space="preserve"> in NR, the minimum PDSCH duration could be 3 symbols, but PUSCH preparation time N2 for capability 1 UE is 10 symbols for 15kHz, 12 symbols for 30kHz, 23 symbols for 60kHz, this also limit</w:t>
      </w:r>
      <w:r>
        <w:rPr>
          <w:rFonts w:eastAsiaTheme="minorEastAsia" w:hint="eastAsia"/>
          <w:lang w:eastAsia="zh-CN"/>
        </w:rPr>
        <w:t xml:space="preserve"> </w:t>
      </w:r>
      <w:r>
        <w:rPr>
          <w:rFonts w:eastAsiaTheme="minorEastAsia"/>
          <w:lang w:eastAsia="zh-CN"/>
        </w:rPr>
        <w:t>a DL burst shorter than N2 cannot sharing the MCOT with PUSCH, even though a short DL burst will remain a lot of resources in a MCOT since a CAT4 LBT operation could at least acquire a 2ms duration</w:t>
      </w:r>
      <w:r w:rsidRPr="009D55C8">
        <w:rPr>
          <w:rFonts w:eastAsiaTheme="minorEastAsia"/>
          <w:lang w:eastAsia="zh-CN"/>
        </w:rPr>
        <w:t xml:space="preserve"> </w:t>
      </w:r>
      <w:r>
        <w:rPr>
          <w:rFonts w:eastAsiaTheme="minorEastAsia"/>
          <w:lang w:eastAsia="zh-CN"/>
        </w:rPr>
        <w:t>MCO</w:t>
      </w:r>
      <w:bookmarkStart w:id="8" w:name="OLE_LINK39"/>
      <w:bookmarkStart w:id="9" w:name="OLE_LINK40"/>
      <w:bookmarkStart w:id="10" w:name="OLE_LINK41"/>
      <w:bookmarkStart w:id="11" w:name="OLE_LINK42"/>
      <w:r>
        <w:rPr>
          <w:rFonts w:eastAsiaTheme="minorEastAsia"/>
          <w:lang w:eastAsia="zh-CN"/>
        </w:rPr>
        <w:t>T</w:t>
      </w:r>
      <w:bookmarkEnd w:id="8"/>
      <w:bookmarkEnd w:id="9"/>
      <w:bookmarkEnd w:id="10"/>
      <w:bookmarkEnd w:id="11"/>
      <w:r>
        <w:rPr>
          <w:rFonts w:eastAsiaTheme="minorEastAsia"/>
          <w:lang w:eastAsia="zh-CN"/>
        </w:rPr>
        <w:t xml:space="preserve">, </w:t>
      </w:r>
      <w:r w:rsidR="00276AA8">
        <w:rPr>
          <w:rFonts w:eastAsiaTheme="minorEastAsia"/>
          <w:lang w:eastAsia="zh-CN"/>
        </w:rPr>
        <w:t xml:space="preserve">an example is shown in </w:t>
      </w:r>
      <w:r>
        <w:rPr>
          <w:rFonts w:eastAsiaTheme="minorEastAsia"/>
          <w:lang w:eastAsia="zh-CN"/>
        </w:rPr>
        <w:t>Fig.2. Therefore, two-stage grant mechanism also need to be supported</w:t>
      </w:r>
      <w:r w:rsidR="00276AA8">
        <w:rPr>
          <w:rFonts w:eastAsiaTheme="minorEastAsia"/>
          <w:lang w:eastAsia="zh-CN"/>
        </w:rPr>
        <w:t xml:space="preserve"> in NR-U</w:t>
      </w:r>
      <w:r>
        <w:rPr>
          <w:rFonts w:eastAsiaTheme="minorEastAsia"/>
          <w:lang w:eastAsia="zh-CN"/>
        </w:rPr>
        <w:t xml:space="preserve"> to mitigate this limitation, as Fig.3. Further, two-stage grant is not precluded to applied in one COT, for example, </w:t>
      </w:r>
      <w:proofErr w:type="spellStart"/>
      <w:r>
        <w:rPr>
          <w:rFonts w:eastAsiaTheme="minorEastAsia"/>
          <w:lang w:eastAsia="zh-CN"/>
        </w:rPr>
        <w:t>gNB</w:t>
      </w:r>
      <w:proofErr w:type="spellEnd"/>
      <w:r>
        <w:rPr>
          <w:rFonts w:eastAsiaTheme="minorEastAsia"/>
          <w:lang w:eastAsia="zh-CN"/>
        </w:rPr>
        <w:t xml:space="preserve"> can either trigger the PUSCH transmission when there are remaining resources in the first-stage grant transmitted COT, or trigger it in another COT when there is no enough resource in current COT based on the dynamic scheduling decision.</w:t>
      </w:r>
    </w:p>
    <w:bookmarkStart w:id="12" w:name="OLE_LINK26"/>
    <w:bookmarkStart w:id="13" w:name="OLE_LINK27"/>
    <w:bookmarkStart w:id="14" w:name="OLE_LINK29"/>
    <w:p w14:paraId="2449B957" w14:textId="77777777" w:rsidR="00653D44" w:rsidRDefault="00653D44" w:rsidP="00653D44">
      <w:pPr>
        <w:jc w:val="center"/>
      </w:pPr>
      <w:r>
        <w:object w:dxaOrig="3967" w:dyaOrig="1125" w14:anchorId="7B89C7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77.75pt" o:ole="">
            <v:imagedata r:id="rId8" o:title=""/>
          </v:shape>
          <o:OLEObject Type="Embed" ProgID="Visio.Drawing.11" ShapeID="_x0000_i1025" DrawAspect="Content" ObjectID="_1611756595" r:id="rId9"/>
        </w:object>
      </w:r>
      <w:bookmarkEnd w:id="12"/>
      <w:bookmarkEnd w:id="13"/>
      <w:bookmarkEnd w:id="14"/>
    </w:p>
    <w:p w14:paraId="3B580D48" w14:textId="6BC0185D" w:rsidR="00653D44" w:rsidRPr="00563491" w:rsidRDefault="00653D44" w:rsidP="00653D44">
      <w:pPr>
        <w:widowControl w:val="0"/>
        <w:autoSpaceDE w:val="0"/>
        <w:autoSpaceDN w:val="0"/>
        <w:adjustRightInd w:val="0"/>
        <w:spacing w:line="288" w:lineRule="auto"/>
        <w:jc w:val="center"/>
      </w:pPr>
      <w:bookmarkStart w:id="15" w:name="OLE_LINK24"/>
      <w:bookmarkStart w:id="16" w:name="OLE_LINK25"/>
      <w:r>
        <w:t xml:space="preserve">Fig.2 </w:t>
      </w:r>
      <w:r w:rsidR="002C5EF4">
        <w:t xml:space="preserve">An example that </w:t>
      </w:r>
      <w:r w:rsidR="009C1CC0">
        <w:t xml:space="preserve">a </w:t>
      </w:r>
      <w:r w:rsidR="00ED3521">
        <w:t>s</w:t>
      </w:r>
      <w:r w:rsidR="00ED3521" w:rsidRPr="00563491">
        <w:t xml:space="preserve">hort </w:t>
      </w:r>
      <w:r w:rsidRPr="00563491">
        <w:t xml:space="preserve">DL burst </w:t>
      </w:r>
      <w:r w:rsidR="002C5EF4">
        <w:t>fail</w:t>
      </w:r>
      <w:r w:rsidR="009C1CC0">
        <w:t>s</w:t>
      </w:r>
      <w:r w:rsidR="002C5EF4">
        <w:t xml:space="preserve"> to</w:t>
      </w:r>
      <w:r w:rsidRPr="00563491">
        <w:t xml:space="preserve"> share COT with PUSCH due to N2 time limitation</w:t>
      </w:r>
    </w:p>
    <w:bookmarkStart w:id="17" w:name="OLE_LINK4"/>
    <w:bookmarkEnd w:id="15"/>
    <w:bookmarkEnd w:id="16"/>
    <w:p w14:paraId="696D7155" w14:textId="5586A56A" w:rsidR="00ED3521" w:rsidRDefault="001909A1" w:rsidP="00653D44">
      <w:pPr>
        <w:widowControl w:val="0"/>
        <w:autoSpaceDE w:val="0"/>
        <w:autoSpaceDN w:val="0"/>
        <w:adjustRightInd w:val="0"/>
        <w:spacing w:line="288" w:lineRule="auto"/>
        <w:jc w:val="center"/>
      </w:pPr>
      <w:r>
        <w:object w:dxaOrig="3505" w:dyaOrig="1175" w14:anchorId="40F29304">
          <v:shape id="_x0000_i1026" type="#_x0000_t75" style="width:260.95pt;height:87pt" o:ole="">
            <v:imagedata r:id="rId10" o:title=""/>
          </v:shape>
          <o:OLEObject Type="Embed" ProgID="Visio.Drawing.11" ShapeID="_x0000_i1026" DrawAspect="Content" ObjectID="_1611756596" r:id="rId11"/>
        </w:object>
      </w:r>
      <w:bookmarkEnd w:id="17"/>
    </w:p>
    <w:p w14:paraId="3C02525B" w14:textId="3DDFBFAE" w:rsidR="00653D44" w:rsidRDefault="00653D44" w:rsidP="00653D44">
      <w:pPr>
        <w:widowControl w:val="0"/>
        <w:autoSpaceDE w:val="0"/>
        <w:autoSpaceDN w:val="0"/>
        <w:adjustRightInd w:val="0"/>
        <w:spacing w:line="288" w:lineRule="auto"/>
        <w:jc w:val="center"/>
        <w:rPr>
          <w:rFonts w:eastAsiaTheme="minorEastAsia"/>
          <w:lang w:val="x-none" w:eastAsia="zh-CN"/>
        </w:rPr>
      </w:pPr>
      <w:r>
        <w:t>Fig.3 Two-stage grant</w:t>
      </w:r>
      <w:r w:rsidR="001909A1">
        <w:rPr>
          <w:lang w:val="x-none"/>
        </w:rPr>
        <w:t xml:space="preserve"> enables a short DL burst share COT</w:t>
      </w:r>
      <w:r w:rsidR="001909A1">
        <w:rPr>
          <w:rFonts w:eastAsiaTheme="minorEastAsia" w:hint="eastAsia"/>
          <w:lang w:val="x-none" w:eastAsia="zh-CN"/>
        </w:rPr>
        <w:t xml:space="preserve"> with PUSCH</w:t>
      </w:r>
    </w:p>
    <w:p w14:paraId="39750D07" w14:textId="77777777" w:rsidR="00592637" w:rsidRPr="00BE799C" w:rsidRDefault="00592637" w:rsidP="00653D44">
      <w:pPr>
        <w:widowControl w:val="0"/>
        <w:autoSpaceDE w:val="0"/>
        <w:autoSpaceDN w:val="0"/>
        <w:adjustRightInd w:val="0"/>
        <w:spacing w:line="288" w:lineRule="auto"/>
        <w:jc w:val="center"/>
        <w:rPr>
          <w:rFonts w:eastAsiaTheme="minorEastAsia"/>
          <w:lang w:eastAsia="zh-CN"/>
        </w:rPr>
      </w:pPr>
    </w:p>
    <w:p w14:paraId="401E46AC" w14:textId="129CB756" w:rsidR="00653D44" w:rsidRDefault="00653D44" w:rsidP="00653D44">
      <w:pPr>
        <w:jc w:val="both"/>
        <w:rPr>
          <w:rFonts w:eastAsia="ＭＳ 明朝"/>
          <w:lang w:eastAsia="ja-JP"/>
        </w:rPr>
      </w:pPr>
      <w:r>
        <w:rPr>
          <w:rFonts w:eastAsia="ＭＳ 明朝"/>
          <w:lang w:eastAsia="ja-JP"/>
        </w:rPr>
        <w:t xml:space="preserve">In </w:t>
      </w:r>
      <w:r w:rsidR="001A01FE">
        <w:rPr>
          <w:rFonts w:eastAsia="ＭＳ 明朝"/>
          <w:lang w:eastAsia="ja-JP"/>
        </w:rPr>
        <w:t xml:space="preserve">last RAN1 meeting </w:t>
      </w:r>
      <w:r>
        <w:rPr>
          <w:rFonts w:eastAsia="ＭＳ 明朝"/>
          <w:lang w:eastAsia="ja-JP"/>
        </w:rPr>
        <w:t xml:space="preserve">, </w:t>
      </w:r>
      <w:r w:rsidR="00476057">
        <w:rPr>
          <w:rFonts w:eastAsia="ＭＳ 明朝"/>
          <w:lang w:eastAsia="ja-JP"/>
        </w:rPr>
        <w:t xml:space="preserve">with </w:t>
      </w:r>
      <w:r w:rsidRPr="00476057">
        <w:rPr>
          <w:rFonts w:eastAsia="ＭＳ 明朝"/>
          <w:lang w:eastAsia="ja-JP"/>
        </w:rPr>
        <w:t>intent</w:t>
      </w:r>
      <w:r w:rsidRPr="0035172C">
        <w:rPr>
          <w:rFonts w:eastAsia="ＭＳ 明朝"/>
          <w:lang w:eastAsia="ja-JP"/>
        </w:rPr>
        <w:t xml:space="preserve"> to provide enough processing time for the HARQ feedback which is transmitted in a shared COT with the corresponding PDSCH, it was identified as beneficial to support</w:t>
      </w:r>
      <w:bookmarkStart w:id="18" w:name="OLE_LINK16"/>
      <w:bookmarkStart w:id="19" w:name="OLE_LINK17"/>
      <w:bookmarkStart w:id="20" w:name="OLE_LINK18"/>
      <w:r w:rsidRPr="0035172C">
        <w:rPr>
          <w:rFonts w:eastAsia="ＭＳ 明朝"/>
          <w:lang w:eastAsia="ja-JP"/>
        </w:rPr>
        <w:t xml:space="preserve"> </w:t>
      </w:r>
      <w:bookmarkEnd w:id="18"/>
      <w:bookmarkEnd w:id="19"/>
      <w:bookmarkEnd w:id="20"/>
      <w:r w:rsidR="00476057">
        <w:rPr>
          <w:rFonts w:eastAsia="ＭＳ 明朝"/>
          <w:lang w:eastAsia="ja-JP"/>
        </w:rPr>
        <w:t xml:space="preserve">UL/DL </w:t>
      </w:r>
      <w:r w:rsidRPr="0035172C">
        <w:rPr>
          <w:rFonts w:eastAsia="ＭＳ 明朝"/>
          <w:lang w:eastAsia="ja-JP"/>
        </w:rPr>
        <w:t>transmissions occupy</w:t>
      </w:r>
      <w:r w:rsidR="007E4CF6">
        <w:rPr>
          <w:rFonts w:eastAsia="ＭＳ 明朝"/>
          <w:lang w:eastAsia="ja-JP"/>
        </w:rPr>
        <w:t>ing</w:t>
      </w:r>
      <w:r w:rsidRPr="0035172C">
        <w:rPr>
          <w:rFonts w:eastAsia="ＭＳ 明朝"/>
          <w:lang w:eastAsia="ja-JP"/>
        </w:rPr>
        <w:t xml:space="preserve"> the time after the PDSCH. </w:t>
      </w:r>
      <w:r>
        <w:rPr>
          <w:rFonts w:eastAsia="ＭＳ 明朝"/>
          <w:lang w:eastAsia="ja-JP"/>
        </w:rPr>
        <w:t xml:space="preserve">This transmission could be a two-stage grant PUSCH, when a PUSCH has been already prepared by UE after received the first-stage grant, </w:t>
      </w:r>
      <w:proofErr w:type="spellStart"/>
      <w:r>
        <w:rPr>
          <w:rFonts w:eastAsia="ＭＳ 明朝"/>
          <w:lang w:eastAsia="ja-JP"/>
        </w:rPr>
        <w:t>gNB</w:t>
      </w:r>
      <w:proofErr w:type="spellEnd"/>
      <w:r>
        <w:rPr>
          <w:rFonts w:eastAsia="ＭＳ 明朝"/>
          <w:lang w:eastAsia="ja-JP"/>
        </w:rPr>
        <w:t xml:space="preserve"> can trigger it to be transmitted whenever needed regardless of the N2 time limitation. As shown in Fig. 4, PUSCH transmission is triggered after a PDSCH to occupy the channel so that HARQ feedback of the PDSCH is able to be transmitted in the shared COT. </w:t>
      </w:r>
    </w:p>
    <w:p w14:paraId="74413067" w14:textId="77777777" w:rsidR="00476057" w:rsidRPr="0035172C" w:rsidRDefault="00476057" w:rsidP="00653D44">
      <w:pPr>
        <w:jc w:val="both"/>
        <w:rPr>
          <w:rFonts w:eastAsia="ＭＳ 明朝"/>
          <w:lang w:eastAsia="ja-JP"/>
        </w:rPr>
      </w:pPr>
    </w:p>
    <w:p w14:paraId="648A179D" w14:textId="77777777" w:rsidR="00653D44" w:rsidRDefault="00653D44" w:rsidP="00653D44">
      <w:pPr>
        <w:jc w:val="center"/>
        <w:rPr>
          <w:rFonts w:eastAsiaTheme="minorEastAsia"/>
          <w:lang w:eastAsia="zh-CN"/>
        </w:rPr>
      </w:pPr>
      <w:r w:rsidRPr="00171DC0">
        <w:t xml:space="preserve"> </w:t>
      </w:r>
      <w:r>
        <w:object w:dxaOrig="4387" w:dyaOrig="1585" w14:anchorId="34924BEA">
          <v:shape id="_x0000_i1027" type="#_x0000_t75" style="width:250.55pt;height:91.6pt" o:ole="">
            <v:imagedata r:id="rId12" o:title=""/>
          </v:shape>
          <o:OLEObject Type="Embed" ProgID="Visio.Drawing.11" ShapeID="_x0000_i1027" DrawAspect="Content" ObjectID="_1611756597" r:id="rId13"/>
        </w:object>
      </w:r>
    </w:p>
    <w:p w14:paraId="20B8C7CA" w14:textId="77777777" w:rsidR="00653D44" w:rsidRDefault="00653D44" w:rsidP="00653D44">
      <w:pPr>
        <w:jc w:val="center"/>
        <w:rPr>
          <w:rFonts w:eastAsiaTheme="minorEastAsia"/>
          <w:lang w:eastAsia="zh-CN"/>
        </w:rPr>
      </w:pPr>
      <w:r>
        <w:rPr>
          <w:rFonts w:eastAsiaTheme="minorEastAsia" w:hint="eastAsia"/>
          <w:lang w:eastAsia="zh-CN"/>
        </w:rPr>
        <w:t>Fig.</w:t>
      </w:r>
      <w:r>
        <w:rPr>
          <w:rFonts w:eastAsiaTheme="minorEastAsia"/>
          <w:lang w:eastAsia="zh-CN"/>
        </w:rPr>
        <w:t xml:space="preserve"> 4</w:t>
      </w:r>
      <w:r>
        <w:rPr>
          <w:rFonts w:eastAsiaTheme="minorEastAsia" w:hint="eastAsia"/>
          <w:lang w:eastAsia="zh-CN"/>
        </w:rPr>
        <w:t xml:space="preserve"> </w:t>
      </w:r>
      <w:r>
        <w:rPr>
          <w:rFonts w:eastAsiaTheme="minorEastAsia"/>
          <w:lang w:eastAsia="zh-CN"/>
        </w:rPr>
        <w:t>Triggered PUSCH between PDSCH and corresponding HARQ feedback in a shared COT</w:t>
      </w:r>
    </w:p>
    <w:p w14:paraId="5A81A154" w14:textId="77777777" w:rsidR="00592637" w:rsidRPr="00425004" w:rsidRDefault="00592637" w:rsidP="00653D44">
      <w:pPr>
        <w:jc w:val="center"/>
        <w:rPr>
          <w:rFonts w:eastAsia="ＭＳ 明朝"/>
          <w:lang w:eastAsia="ja-JP"/>
        </w:rPr>
      </w:pPr>
    </w:p>
    <w:p w14:paraId="6BD55D7B" w14:textId="726A04F3" w:rsidR="00653D44" w:rsidRPr="0035172C" w:rsidRDefault="00653D44" w:rsidP="00653D44">
      <w:pPr>
        <w:jc w:val="both"/>
        <w:rPr>
          <w:rFonts w:eastAsia="ＭＳ 明朝"/>
          <w:b/>
          <w:lang w:eastAsia="ja-JP"/>
        </w:rPr>
      </w:pPr>
      <w:bookmarkStart w:id="21" w:name="OLE_LINK116"/>
      <w:bookmarkStart w:id="22" w:name="OLE_LINK117"/>
      <w:bookmarkStart w:id="23" w:name="OLE_LINK118"/>
      <w:r w:rsidRPr="0035172C">
        <w:rPr>
          <w:rFonts w:eastAsia="ＭＳ 明朝"/>
          <w:b/>
          <w:lang w:eastAsia="ja-JP"/>
        </w:rPr>
        <w:t xml:space="preserve">Proposal </w:t>
      </w:r>
      <w:r w:rsidR="000D38DE">
        <w:rPr>
          <w:rFonts w:eastAsia="ＭＳ 明朝"/>
          <w:b/>
          <w:lang w:eastAsia="ja-JP"/>
        </w:rPr>
        <w:t>3</w:t>
      </w:r>
      <w:r>
        <w:rPr>
          <w:rFonts w:eastAsia="ＭＳ 明朝"/>
          <w:b/>
          <w:lang w:eastAsia="ja-JP"/>
        </w:rPr>
        <w:t xml:space="preserve">: </w:t>
      </w:r>
      <w:bookmarkEnd w:id="21"/>
      <w:bookmarkEnd w:id="22"/>
      <w:bookmarkEnd w:id="23"/>
      <w:r w:rsidR="00433B3F">
        <w:rPr>
          <w:rFonts w:eastAsia="ＭＳ 明朝"/>
          <w:b/>
          <w:lang w:eastAsia="ja-JP"/>
        </w:rPr>
        <w:t>NR-U s</w:t>
      </w:r>
      <w:r>
        <w:rPr>
          <w:rFonts w:eastAsia="ＭＳ 明朝"/>
          <w:b/>
          <w:lang w:eastAsia="ja-JP"/>
        </w:rPr>
        <w:t>upport</w:t>
      </w:r>
      <w:r w:rsidR="00433B3F">
        <w:rPr>
          <w:rFonts w:eastAsia="ＭＳ 明朝"/>
          <w:b/>
          <w:lang w:eastAsia="ja-JP"/>
        </w:rPr>
        <w:t>s two-stage grant mechanism</w:t>
      </w:r>
      <w:r>
        <w:rPr>
          <w:rFonts w:eastAsia="ＭＳ 明朝"/>
          <w:b/>
          <w:lang w:eastAsia="ja-JP"/>
        </w:rPr>
        <w:t>.</w:t>
      </w:r>
    </w:p>
    <w:p w14:paraId="7370345D" w14:textId="77777777" w:rsidR="00653D44" w:rsidRPr="0035172C" w:rsidRDefault="00653D44" w:rsidP="00653D44">
      <w:pPr>
        <w:rPr>
          <w:rFonts w:eastAsiaTheme="minorEastAsia"/>
          <w:lang w:eastAsia="zh-CN"/>
        </w:rPr>
      </w:pPr>
    </w:p>
    <w:p w14:paraId="49C3AB00" w14:textId="77777777" w:rsidR="00951599" w:rsidRPr="00653D44" w:rsidRDefault="00951599" w:rsidP="00A51918">
      <w:pPr>
        <w:rPr>
          <w:rFonts w:eastAsiaTheme="minorEastAsia"/>
          <w:lang w:eastAsia="zh-CN"/>
        </w:rPr>
      </w:pPr>
    </w:p>
    <w:p w14:paraId="6D88349C" w14:textId="77777777" w:rsidR="00CB69D9" w:rsidRDefault="00CB69D9" w:rsidP="00480070">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1E09ED43" w14:textId="297F7B89" w:rsidR="009B1A04" w:rsidRDefault="009B1A04" w:rsidP="00844041">
      <w:pPr>
        <w:jc w:val="both"/>
        <w:rPr>
          <w:rFonts w:eastAsia="SimSun"/>
          <w:szCs w:val="20"/>
          <w:lang w:eastAsia="zh-CN"/>
        </w:rPr>
      </w:pPr>
      <w:r w:rsidRPr="009B1A04">
        <w:rPr>
          <w:rFonts w:eastAsia="SimSun"/>
          <w:szCs w:val="20"/>
          <w:lang w:eastAsia="zh-CN"/>
        </w:rPr>
        <w:t xml:space="preserve">In this contribution, we discussed </w:t>
      </w:r>
      <w:r w:rsidR="003E39CC">
        <w:rPr>
          <w:rFonts w:eastAsia="SimSun"/>
          <w:szCs w:val="20"/>
          <w:lang w:eastAsia="zh-CN"/>
        </w:rPr>
        <w:t>scheduling/HARQ enhancements for NR-U</w:t>
      </w:r>
      <w:r w:rsidRPr="009B1A04">
        <w:rPr>
          <w:rFonts w:eastAsia="SimSun"/>
          <w:szCs w:val="20"/>
          <w:lang w:eastAsia="zh-CN"/>
        </w:rPr>
        <w:t xml:space="preserve">. </w:t>
      </w:r>
      <w:r>
        <w:rPr>
          <w:rFonts w:eastAsia="SimSun"/>
          <w:szCs w:val="20"/>
          <w:lang w:eastAsia="zh-CN"/>
        </w:rPr>
        <w:t>The proposals and observations are summarized as follow</w:t>
      </w:r>
      <w:r w:rsidRPr="009B1A04">
        <w:rPr>
          <w:rFonts w:eastAsia="SimSun"/>
          <w:szCs w:val="20"/>
          <w:lang w:eastAsia="zh-CN"/>
        </w:rPr>
        <w:t>,</w:t>
      </w:r>
    </w:p>
    <w:p w14:paraId="0FD65AE0" w14:textId="77777777" w:rsidR="009B1A04" w:rsidRDefault="009B1A04" w:rsidP="00844041">
      <w:pPr>
        <w:jc w:val="both"/>
        <w:rPr>
          <w:b/>
          <w:lang w:val="en-GB" w:eastAsia="zh-CN"/>
        </w:rPr>
      </w:pPr>
    </w:p>
    <w:p w14:paraId="0E3033C7" w14:textId="77777777" w:rsidR="000C1B11" w:rsidRPr="002E76F4" w:rsidRDefault="000C1B11" w:rsidP="000C1B11">
      <w:pPr>
        <w:jc w:val="both"/>
        <w:rPr>
          <w:b/>
          <w:lang w:val="en-GB" w:eastAsia="zh-CN"/>
        </w:rPr>
      </w:pPr>
      <w:r w:rsidRPr="002E76F4">
        <w:rPr>
          <w:b/>
          <w:lang w:val="en-GB" w:eastAsia="zh-CN"/>
        </w:rPr>
        <w:t>Proposal 1: To support cross-COT HARQ feedback, a window ID is used to indicate which group the scheduled PDSCH belongs to in term</w:t>
      </w:r>
      <w:r>
        <w:rPr>
          <w:b/>
          <w:lang w:val="en-GB" w:eastAsia="zh-CN"/>
        </w:rPr>
        <w:t>s</w:t>
      </w:r>
      <w:r w:rsidRPr="002E76F4">
        <w:rPr>
          <w:b/>
          <w:lang w:val="en-GB" w:eastAsia="zh-CN"/>
        </w:rPr>
        <w:t xml:space="preserve"> of HARQ feedback </w:t>
      </w:r>
      <w:r>
        <w:rPr>
          <w:b/>
          <w:lang w:val="en-GB" w:eastAsia="zh-CN"/>
        </w:rPr>
        <w:t>timing</w:t>
      </w:r>
      <w:r w:rsidRPr="002E76F4">
        <w:rPr>
          <w:b/>
          <w:lang w:val="en-GB" w:eastAsia="zh-CN"/>
        </w:rPr>
        <w:t xml:space="preserve">. </w:t>
      </w:r>
    </w:p>
    <w:p w14:paraId="6A3F2126" w14:textId="26A88A03" w:rsidR="000C1B11" w:rsidRPr="002E76F4" w:rsidRDefault="000C1B11" w:rsidP="000C1B11">
      <w:pPr>
        <w:pStyle w:val="aff0"/>
        <w:numPr>
          <w:ilvl w:val="0"/>
          <w:numId w:val="45"/>
        </w:numPr>
        <w:ind w:firstLineChars="0"/>
        <w:jc w:val="both"/>
        <w:rPr>
          <w:rFonts w:eastAsiaTheme="minorEastAsia"/>
          <w:u w:val="single"/>
          <w:lang w:val="en-GB" w:eastAsia="zh-CN"/>
        </w:rPr>
      </w:pPr>
      <w:r>
        <w:rPr>
          <w:b/>
          <w:lang w:val="en-GB" w:eastAsia="ja-JP"/>
        </w:rPr>
        <w:t xml:space="preserve">HARQ feedback for </w:t>
      </w:r>
      <w:r w:rsidRPr="002E76F4">
        <w:rPr>
          <w:rFonts w:hint="eastAsia"/>
          <w:b/>
          <w:lang w:val="en-GB" w:eastAsia="ja-JP"/>
        </w:rPr>
        <w:t xml:space="preserve">PDSCHs </w:t>
      </w:r>
      <w:r w:rsidRPr="002E76F4">
        <w:rPr>
          <w:b/>
          <w:lang w:val="en-GB" w:eastAsia="ja-JP"/>
        </w:rPr>
        <w:t xml:space="preserve">in </w:t>
      </w:r>
      <w:r>
        <w:rPr>
          <w:b/>
          <w:lang w:val="en-GB" w:eastAsia="ja-JP"/>
        </w:rPr>
        <w:t>a</w:t>
      </w:r>
      <w:bookmarkStart w:id="24" w:name="_GoBack"/>
      <w:bookmarkEnd w:id="24"/>
      <w:r w:rsidRPr="002E76F4">
        <w:rPr>
          <w:b/>
          <w:lang w:val="en-GB" w:eastAsia="ja-JP"/>
        </w:rPr>
        <w:t xml:space="preserve"> same window </w:t>
      </w:r>
      <w:r>
        <w:rPr>
          <w:b/>
          <w:lang w:val="en-GB" w:eastAsia="ja-JP"/>
        </w:rPr>
        <w:t xml:space="preserve">is included in a same codebook by default. </w:t>
      </w:r>
    </w:p>
    <w:p w14:paraId="12E79011" w14:textId="77777777" w:rsidR="000C1B11" w:rsidRPr="00EB209E" w:rsidRDefault="000C1B11" w:rsidP="000C1B11">
      <w:pPr>
        <w:pStyle w:val="aff0"/>
        <w:numPr>
          <w:ilvl w:val="0"/>
          <w:numId w:val="45"/>
        </w:numPr>
        <w:ind w:firstLineChars="0"/>
        <w:jc w:val="both"/>
        <w:rPr>
          <w:b/>
          <w:lang w:val="en-GB" w:eastAsia="ja-JP"/>
        </w:rPr>
      </w:pPr>
      <w:r w:rsidRPr="00EB209E">
        <w:rPr>
          <w:b/>
          <w:lang w:val="en-GB" w:eastAsia="ja-JP"/>
        </w:rPr>
        <w:t>HARQ feedback for PDSCH</w:t>
      </w:r>
      <w:r>
        <w:rPr>
          <w:b/>
          <w:lang w:val="en-GB" w:eastAsia="ja-JP"/>
        </w:rPr>
        <w:t>s</w:t>
      </w:r>
      <w:r w:rsidRPr="00EB209E">
        <w:rPr>
          <w:b/>
          <w:lang w:val="en-GB" w:eastAsia="ja-JP"/>
        </w:rPr>
        <w:t xml:space="preserve"> from earlier COTs is triggered by expl</w:t>
      </w:r>
      <w:r>
        <w:rPr>
          <w:b/>
          <w:lang w:val="en-GB" w:eastAsia="ja-JP"/>
        </w:rPr>
        <w:t>icit indication of the window in the DCI</w:t>
      </w:r>
      <w:r w:rsidRPr="00EB209E">
        <w:rPr>
          <w:b/>
          <w:lang w:val="en-GB" w:eastAsia="ja-JP"/>
        </w:rPr>
        <w:t>.</w:t>
      </w:r>
    </w:p>
    <w:p w14:paraId="2E4F5D6C" w14:textId="77777777" w:rsidR="003E39CC" w:rsidRPr="000C1B11" w:rsidRDefault="003E39CC" w:rsidP="00844041">
      <w:pPr>
        <w:jc w:val="both"/>
        <w:rPr>
          <w:rFonts w:eastAsia="ＭＳ 明朝"/>
          <w:b/>
          <w:lang w:val="en-GB" w:eastAsia="ja-JP"/>
        </w:rPr>
      </w:pPr>
    </w:p>
    <w:p w14:paraId="1040E3CA" w14:textId="77777777" w:rsidR="00EB209E" w:rsidRDefault="00EB209E" w:rsidP="00EB209E">
      <w:pPr>
        <w:jc w:val="both"/>
        <w:rPr>
          <w:b/>
          <w:lang w:val="en-GB" w:eastAsia="zh-CN"/>
        </w:rPr>
      </w:pPr>
      <w:r w:rsidRPr="00EB209E">
        <w:rPr>
          <w:b/>
          <w:lang w:val="en-GB" w:eastAsia="zh-CN"/>
        </w:rPr>
        <w:t>Proposal 2: NR-U supports a dynamic indication of a K1 value from more than 10 candidates by increasing the number of bits for PDSCH-to-HARQ-timing-indicator field.</w:t>
      </w:r>
    </w:p>
    <w:p w14:paraId="650BA1A3" w14:textId="77777777" w:rsidR="00EB209E" w:rsidRPr="00EB209E" w:rsidRDefault="00EB209E" w:rsidP="00844041">
      <w:pPr>
        <w:jc w:val="both"/>
        <w:rPr>
          <w:rFonts w:eastAsia="ＭＳ 明朝"/>
          <w:b/>
          <w:lang w:val="en-GB" w:eastAsia="ja-JP"/>
        </w:rPr>
      </w:pPr>
    </w:p>
    <w:p w14:paraId="4F223DC5" w14:textId="10751305" w:rsidR="003E39CC" w:rsidRPr="00433B3F" w:rsidRDefault="00433B3F" w:rsidP="00844041">
      <w:pPr>
        <w:jc w:val="both"/>
        <w:rPr>
          <w:rFonts w:eastAsia="ＭＳ 明朝"/>
          <w:b/>
          <w:lang w:eastAsia="ja-JP"/>
        </w:rPr>
      </w:pPr>
      <w:r w:rsidRPr="0035172C">
        <w:rPr>
          <w:rFonts w:eastAsia="ＭＳ 明朝"/>
          <w:b/>
          <w:lang w:eastAsia="ja-JP"/>
        </w:rPr>
        <w:t xml:space="preserve">Proposal </w:t>
      </w:r>
      <w:r>
        <w:rPr>
          <w:rFonts w:eastAsia="ＭＳ 明朝"/>
          <w:b/>
          <w:lang w:eastAsia="ja-JP"/>
        </w:rPr>
        <w:t>3: NR-U supports two-stage grant mechanism.</w:t>
      </w:r>
    </w:p>
    <w:p w14:paraId="061BB993" w14:textId="77777777" w:rsidR="00870391" w:rsidRPr="003E39CC" w:rsidRDefault="00870391" w:rsidP="005143F1">
      <w:pPr>
        <w:pStyle w:val="a5"/>
        <w:spacing w:afterLines="50" w:after="163"/>
        <w:jc w:val="both"/>
        <w:rPr>
          <w:sz w:val="20"/>
          <w:szCs w:val="20"/>
          <w:lang w:val="en-GB"/>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6C97A3A5" w14:textId="5C56069F" w:rsidR="00585FA0" w:rsidRPr="001018CD" w:rsidRDefault="001018CD" w:rsidP="001018CD">
      <w:pPr>
        <w:tabs>
          <w:tab w:val="left" w:pos="0"/>
          <w:tab w:val="left" w:pos="230"/>
          <w:tab w:val="num" w:pos="1545"/>
        </w:tabs>
        <w:spacing w:after="120"/>
        <w:jc w:val="both"/>
        <w:rPr>
          <w:rFonts w:eastAsia="ＭＳ 明朝"/>
          <w:sz w:val="20"/>
          <w:szCs w:val="20"/>
          <w:lang w:eastAsia="ja-JP"/>
        </w:rPr>
      </w:pPr>
      <w:r>
        <w:rPr>
          <w:rFonts w:eastAsia="ＭＳ 明朝" w:hint="eastAsia"/>
          <w:sz w:val="20"/>
          <w:szCs w:val="20"/>
          <w:lang w:eastAsia="ja-JP"/>
        </w:rPr>
        <w:t xml:space="preserve">[1] </w:t>
      </w:r>
      <w:r>
        <w:rPr>
          <w:rFonts w:eastAsia="SimSun"/>
          <w:sz w:val="20"/>
          <w:szCs w:val="20"/>
          <w:lang w:eastAsia="zh-CN"/>
        </w:rPr>
        <w:t>3GPP TR 38.889 v16.0.0, Dec. 2018</w:t>
      </w:r>
    </w:p>
    <w:p w14:paraId="26988349" w14:textId="77777777" w:rsidR="001018CD" w:rsidRDefault="001018CD" w:rsidP="00585FA0">
      <w:pPr>
        <w:tabs>
          <w:tab w:val="left" w:pos="0"/>
          <w:tab w:val="left" w:pos="540"/>
          <w:tab w:val="num" w:pos="1545"/>
        </w:tabs>
        <w:spacing w:after="120"/>
        <w:jc w:val="both"/>
        <w:rPr>
          <w:rFonts w:eastAsia="ＭＳ 明朝"/>
          <w:sz w:val="20"/>
          <w:szCs w:val="20"/>
          <w:lang w:eastAsia="ja-JP"/>
        </w:rPr>
      </w:pPr>
      <w:r>
        <w:rPr>
          <w:rFonts w:eastAsia="ＭＳ 明朝" w:hint="eastAsia"/>
          <w:sz w:val="20"/>
          <w:szCs w:val="20"/>
          <w:lang w:eastAsia="ja-JP"/>
        </w:rPr>
        <w:t xml:space="preserve">[2] </w:t>
      </w:r>
      <w:r>
        <w:rPr>
          <w:rFonts w:eastAsia="ＭＳ 明朝"/>
          <w:sz w:val="20"/>
          <w:szCs w:val="20"/>
          <w:lang w:eastAsia="ja-JP"/>
        </w:rPr>
        <w:t>“New WID on NR-based Access to Unlicensed Spectrum”, 3GPP TSG RAN Meeting #82, Dec. 2018</w:t>
      </w:r>
    </w:p>
    <w:p w14:paraId="3448DE8F" w14:textId="4C710D44" w:rsidR="006973B0" w:rsidRDefault="006973B0" w:rsidP="00585FA0">
      <w:pPr>
        <w:tabs>
          <w:tab w:val="left" w:pos="0"/>
          <w:tab w:val="left" w:pos="540"/>
          <w:tab w:val="num" w:pos="1545"/>
        </w:tabs>
        <w:spacing w:after="120"/>
        <w:jc w:val="both"/>
        <w:rPr>
          <w:rFonts w:eastAsia="ＭＳ 明朝"/>
          <w:sz w:val="20"/>
          <w:szCs w:val="20"/>
          <w:lang w:eastAsia="ja-JP"/>
        </w:rPr>
      </w:pPr>
      <w:r>
        <w:rPr>
          <w:rFonts w:eastAsia="ＭＳ 明朝"/>
          <w:sz w:val="20"/>
          <w:szCs w:val="20"/>
          <w:lang w:eastAsia="ja-JP"/>
        </w:rPr>
        <w:t>[3] R1-1900245, “Scheduling/HARQ enhancements for NR-U”, Fujitsu, 3GPP TSG RAN1 Adhoc#1901, Jan. 2019</w:t>
      </w:r>
    </w:p>
    <w:p w14:paraId="64555D9C" w14:textId="77777777" w:rsidR="00585FA0" w:rsidRPr="00870391" w:rsidRDefault="00585FA0" w:rsidP="00585FA0">
      <w:pPr>
        <w:tabs>
          <w:tab w:val="left" w:pos="0"/>
          <w:tab w:val="left" w:pos="540"/>
          <w:tab w:val="num" w:pos="1545"/>
        </w:tabs>
        <w:spacing w:after="120"/>
        <w:jc w:val="both"/>
        <w:rPr>
          <w:rFonts w:eastAsia="ＭＳ 明朝"/>
          <w:sz w:val="20"/>
          <w:szCs w:val="20"/>
          <w:lang w:val="it-IT"/>
        </w:rPr>
      </w:pPr>
    </w:p>
    <w:bookmarkEnd w:id="2"/>
    <w:p w14:paraId="5B1C1D9E" w14:textId="77777777" w:rsidR="00870391" w:rsidRPr="00870391" w:rsidRDefault="00870391" w:rsidP="005143F1">
      <w:pPr>
        <w:pStyle w:val="a5"/>
        <w:spacing w:afterLines="50" w:after="163"/>
        <w:jc w:val="both"/>
        <w:rPr>
          <w:sz w:val="20"/>
          <w:szCs w:val="20"/>
          <w:lang w:val="it-IT"/>
        </w:rPr>
      </w:pPr>
    </w:p>
    <w:sectPr w:rsidR="00870391" w:rsidRPr="00870391" w:rsidSect="0056728B">
      <w:footerReference w:type="default" r:id="rId14"/>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7C2E7" w14:textId="77777777" w:rsidR="00F1385B" w:rsidRDefault="00F1385B">
      <w:r>
        <w:separator/>
      </w:r>
    </w:p>
  </w:endnote>
  <w:endnote w:type="continuationSeparator" w:id="0">
    <w:p w14:paraId="37D28F19" w14:textId="77777777" w:rsidR="00F1385B" w:rsidRDefault="00F13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ＭＳ Ｐゴシック">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f0"/>
          <w:jc w:val="center"/>
        </w:pPr>
        <w:r>
          <w:fldChar w:fldCharType="begin"/>
        </w:r>
        <w:r>
          <w:instrText>PAGE   \* MERGEFORMAT</w:instrText>
        </w:r>
        <w:r>
          <w:fldChar w:fldCharType="separate"/>
        </w:r>
        <w:r w:rsidR="000C1B11" w:rsidRPr="000C1B11">
          <w:rPr>
            <w:noProof/>
            <w:lang w:val="ja-JP" w:eastAsia="ja-JP"/>
          </w:rPr>
          <w:t>5</w:t>
        </w:r>
        <w:r>
          <w:fldChar w:fldCharType="end"/>
        </w:r>
      </w:p>
    </w:sdtContent>
  </w:sdt>
  <w:p w14:paraId="6BE9C4EF" w14:textId="77777777" w:rsidR="008D1EF8" w:rsidRDefault="008D1EF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4CA55" w14:textId="77777777" w:rsidR="00F1385B" w:rsidRDefault="00F1385B">
      <w:r>
        <w:separator/>
      </w:r>
    </w:p>
  </w:footnote>
  <w:footnote w:type="continuationSeparator" w:id="0">
    <w:p w14:paraId="3689F3AA" w14:textId="77777777" w:rsidR="00F1385B" w:rsidRDefault="00F138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D7707C"/>
    <w:multiLevelType w:val="hybridMultilevel"/>
    <w:tmpl w:val="0428C4C4"/>
    <w:lvl w:ilvl="0" w:tplc="5E96162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6612F8"/>
    <w:multiLevelType w:val="hybridMultilevel"/>
    <w:tmpl w:val="ABE634EA"/>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A011A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56203F6F"/>
    <w:multiLevelType w:val="hybridMultilevel"/>
    <w:tmpl w:val="7E24B5B0"/>
    <w:lvl w:ilvl="0" w:tplc="C8088436">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3D3E5F"/>
    <w:multiLevelType w:val="hybridMultilevel"/>
    <w:tmpl w:val="FF54FAC4"/>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A7900D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A22965"/>
    <w:multiLevelType w:val="hybridMultilevel"/>
    <w:tmpl w:val="8F24FB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3"/>
  </w:num>
  <w:num w:numId="3">
    <w:abstractNumId w:val="36"/>
  </w:num>
  <w:num w:numId="4">
    <w:abstractNumId w:val="20"/>
  </w:num>
  <w:num w:numId="5">
    <w:abstractNumId w:val="40"/>
  </w:num>
  <w:num w:numId="6">
    <w:abstractNumId w:val="12"/>
  </w:num>
  <w:num w:numId="7">
    <w:abstractNumId w:val="6"/>
  </w:num>
  <w:num w:numId="8">
    <w:abstractNumId w:val="10"/>
  </w:num>
  <w:num w:numId="9">
    <w:abstractNumId w:val="30"/>
  </w:num>
  <w:num w:numId="10">
    <w:abstractNumId w:val="17"/>
  </w:num>
  <w:num w:numId="11">
    <w:abstractNumId w:val="3"/>
  </w:num>
  <w:num w:numId="12">
    <w:abstractNumId w:val="14"/>
  </w:num>
  <w:num w:numId="13">
    <w:abstractNumId w:val="21"/>
  </w:num>
  <w:num w:numId="14">
    <w:abstractNumId w:val="35"/>
  </w:num>
  <w:num w:numId="15">
    <w:abstractNumId w:val="23"/>
  </w:num>
  <w:num w:numId="16">
    <w:abstractNumId w:val="16"/>
  </w:num>
  <w:num w:numId="17">
    <w:abstractNumId w:val="26"/>
  </w:num>
  <w:num w:numId="18">
    <w:abstractNumId w:val="11"/>
  </w:num>
  <w:num w:numId="19">
    <w:abstractNumId w:val="37"/>
  </w:num>
  <w:num w:numId="20">
    <w:abstractNumId w:val="15"/>
  </w:num>
  <w:num w:numId="21">
    <w:abstractNumId w:val="13"/>
  </w:num>
  <w:num w:numId="22">
    <w:abstractNumId w:val="29"/>
  </w:num>
  <w:num w:numId="23">
    <w:abstractNumId w:val="42"/>
  </w:num>
  <w:num w:numId="24">
    <w:abstractNumId w:val="38"/>
  </w:num>
  <w:num w:numId="25">
    <w:abstractNumId w:val="27"/>
  </w:num>
  <w:num w:numId="26">
    <w:abstractNumId w:val="39"/>
  </w:num>
  <w:num w:numId="27">
    <w:abstractNumId w:val="25"/>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9"/>
  </w:num>
  <w:num w:numId="31">
    <w:abstractNumId w:val="8"/>
  </w:num>
  <w:num w:numId="32">
    <w:abstractNumId w:val="22"/>
  </w:num>
  <w:num w:numId="33">
    <w:abstractNumId w:val="18"/>
  </w:num>
  <w:num w:numId="34">
    <w:abstractNumId w:val="28"/>
  </w:num>
  <w:num w:numId="35">
    <w:abstractNumId w:val="4"/>
  </w:num>
  <w:num w:numId="36">
    <w:abstractNumId w:val="1"/>
    <w:lvlOverride w:ilvl="0"/>
    <w:lvlOverride w:ilvl="1">
      <w:startOverride w:val="1"/>
    </w:lvlOverride>
    <w:lvlOverride w:ilvl="2"/>
    <w:lvlOverride w:ilvl="3"/>
    <w:lvlOverride w:ilvl="4"/>
    <w:lvlOverride w:ilvl="5"/>
    <w:lvlOverride w:ilvl="6"/>
    <w:lvlOverride w:ilvl="7"/>
    <w:lvlOverride w:ilvl="8"/>
  </w:num>
  <w:num w:numId="37">
    <w:abstractNumId w:val="32"/>
  </w:num>
  <w:num w:numId="38">
    <w:abstractNumId w:val="9"/>
  </w:num>
  <w:num w:numId="39">
    <w:abstractNumId w:val="34"/>
  </w:num>
  <w:num w:numId="40">
    <w:abstractNumId w:val="24"/>
  </w:num>
  <w:num w:numId="41">
    <w:abstractNumId w:val="41"/>
  </w:num>
  <w:num w:numId="42">
    <w:abstractNumId w:val="31"/>
  </w:num>
  <w:num w:numId="43">
    <w:abstractNumId w:val="36"/>
  </w:num>
  <w:num w:numId="44">
    <w:abstractNumId w:val="7"/>
  </w:num>
  <w:num w:numId="45">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6145"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DFB"/>
    <w:rsid w:val="00014F85"/>
    <w:rsid w:val="00015490"/>
    <w:rsid w:val="000155A2"/>
    <w:rsid w:val="000159B3"/>
    <w:rsid w:val="000159D9"/>
    <w:rsid w:val="00015BA3"/>
    <w:rsid w:val="00015F1E"/>
    <w:rsid w:val="000161A3"/>
    <w:rsid w:val="00016B53"/>
    <w:rsid w:val="00016DEB"/>
    <w:rsid w:val="00016DFC"/>
    <w:rsid w:val="000174BE"/>
    <w:rsid w:val="000176A2"/>
    <w:rsid w:val="00017CED"/>
    <w:rsid w:val="0002002F"/>
    <w:rsid w:val="000206B1"/>
    <w:rsid w:val="0002084D"/>
    <w:rsid w:val="00020FAC"/>
    <w:rsid w:val="00021360"/>
    <w:rsid w:val="00021CF9"/>
    <w:rsid w:val="000223BE"/>
    <w:rsid w:val="000225E2"/>
    <w:rsid w:val="0002287F"/>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E86"/>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43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3AE1"/>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947"/>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34"/>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11"/>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1FB"/>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8DE"/>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55D"/>
    <w:rsid w:val="000E1617"/>
    <w:rsid w:val="000E1899"/>
    <w:rsid w:val="000E19C5"/>
    <w:rsid w:val="000E1A81"/>
    <w:rsid w:val="000E1D97"/>
    <w:rsid w:val="000E1E34"/>
    <w:rsid w:val="000E207B"/>
    <w:rsid w:val="000E21CD"/>
    <w:rsid w:val="000E23D0"/>
    <w:rsid w:val="000E25EC"/>
    <w:rsid w:val="000E27D5"/>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D6D"/>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8CD"/>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234"/>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37"/>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193"/>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32"/>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9A1"/>
    <w:rsid w:val="00190A8D"/>
    <w:rsid w:val="00190C98"/>
    <w:rsid w:val="00190FC7"/>
    <w:rsid w:val="00191914"/>
    <w:rsid w:val="00191EAB"/>
    <w:rsid w:val="00192118"/>
    <w:rsid w:val="0019238F"/>
    <w:rsid w:val="00192679"/>
    <w:rsid w:val="00192957"/>
    <w:rsid w:val="001929A4"/>
    <w:rsid w:val="00192E09"/>
    <w:rsid w:val="00193357"/>
    <w:rsid w:val="0019349E"/>
    <w:rsid w:val="001934BC"/>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1FE"/>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619"/>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97A"/>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2C15"/>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D81"/>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B31"/>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6A88"/>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140"/>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C15"/>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1BB"/>
    <w:rsid w:val="00235347"/>
    <w:rsid w:val="0023543E"/>
    <w:rsid w:val="0023575C"/>
    <w:rsid w:val="00235766"/>
    <w:rsid w:val="00235EA7"/>
    <w:rsid w:val="00235ECF"/>
    <w:rsid w:val="002361E3"/>
    <w:rsid w:val="0023630F"/>
    <w:rsid w:val="002366F8"/>
    <w:rsid w:val="0023675C"/>
    <w:rsid w:val="00236B21"/>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AA8"/>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97"/>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18"/>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46"/>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5EF4"/>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148"/>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6F4"/>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7D0"/>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289"/>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19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02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312"/>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9CC"/>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77"/>
    <w:rsid w:val="003F2E9F"/>
    <w:rsid w:val="003F34FA"/>
    <w:rsid w:val="003F3937"/>
    <w:rsid w:val="003F3A87"/>
    <w:rsid w:val="003F3A9B"/>
    <w:rsid w:val="003F3CFC"/>
    <w:rsid w:val="003F3F2D"/>
    <w:rsid w:val="003F40CB"/>
    <w:rsid w:val="003F40FD"/>
    <w:rsid w:val="003F429B"/>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975"/>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004"/>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3F"/>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057"/>
    <w:rsid w:val="0047630F"/>
    <w:rsid w:val="00476435"/>
    <w:rsid w:val="004767F0"/>
    <w:rsid w:val="00476CD3"/>
    <w:rsid w:val="00477067"/>
    <w:rsid w:val="004770A4"/>
    <w:rsid w:val="00477540"/>
    <w:rsid w:val="0047792A"/>
    <w:rsid w:val="00477CFA"/>
    <w:rsid w:val="00477ED5"/>
    <w:rsid w:val="00480062"/>
    <w:rsid w:val="00480070"/>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A3F"/>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5F7"/>
    <w:rsid w:val="004D07DE"/>
    <w:rsid w:val="004D0EEB"/>
    <w:rsid w:val="004D1024"/>
    <w:rsid w:val="004D110E"/>
    <w:rsid w:val="004D14B2"/>
    <w:rsid w:val="004D17C1"/>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ADC"/>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3F91"/>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8EF"/>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99A"/>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7A9"/>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1CE"/>
    <w:rsid w:val="00585603"/>
    <w:rsid w:val="0058569C"/>
    <w:rsid w:val="0058579E"/>
    <w:rsid w:val="00585872"/>
    <w:rsid w:val="00585A98"/>
    <w:rsid w:val="00585BE4"/>
    <w:rsid w:val="00585BF8"/>
    <w:rsid w:val="00585CAF"/>
    <w:rsid w:val="00585D90"/>
    <w:rsid w:val="00585FA0"/>
    <w:rsid w:val="00585FFF"/>
    <w:rsid w:val="0058617E"/>
    <w:rsid w:val="0058624F"/>
    <w:rsid w:val="00586351"/>
    <w:rsid w:val="0058664A"/>
    <w:rsid w:val="00586691"/>
    <w:rsid w:val="00586A11"/>
    <w:rsid w:val="00586AFC"/>
    <w:rsid w:val="00586F91"/>
    <w:rsid w:val="005874E3"/>
    <w:rsid w:val="0058770D"/>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637"/>
    <w:rsid w:val="0059279A"/>
    <w:rsid w:val="005929B1"/>
    <w:rsid w:val="005929E9"/>
    <w:rsid w:val="00592F07"/>
    <w:rsid w:val="00592F95"/>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E3D"/>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3D44"/>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100"/>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B0"/>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394"/>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71"/>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27B5A"/>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089"/>
    <w:rsid w:val="00751326"/>
    <w:rsid w:val="007515B1"/>
    <w:rsid w:val="007519A2"/>
    <w:rsid w:val="007519F2"/>
    <w:rsid w:val="00751BBA"/>
    <w:rsid w:val="00751ECD"/>
    <w:rsid w:val="00751F7C"/>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EA2"/>
    <w:rsid w:val="007751BA"/>
    <w:rsid w:val="007751F0"/>
    <w:rsid w:val="00775284"/>
    <w:rsid w:val="00775391"/>
    <w:rsid w:val="00775539"/>
    <w:rsid w:val="00775ED8"/>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346"/>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3C21"/>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1D5"/>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9DB"/>
    <w:rsid w:val="007E3C0E"/>
    <w:rsid w:val="007E4210"/>
    <w:rsid w:val="007E4256"/>
    <w:rsid w:val="007E42F9"/>
    <w:rsid w:val="007E46C7"/>
    <w:rsid w:val="007E4911"/>
    <w:rsid w:val="007E4933"/>
    <w:rsid w:val="007E4A06"/>
    <w:rsid w:val="007E4A9B"/>
    <w:rsid w:val="007E4CF6"/>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5D61"/>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663"/>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041"/>
    <w:rsid w:val="00844428"/>
    <w:rsid w:val="008444A6"/>
    <w:rsid w:val="00844F7A"/>
    <w:rsid w:val="00844FDF"/>
    <w:rsid w:val="008452D5"/>
    <w:rsid w:val="008456D1"/>
    <w:rsid w:val="00846130"/>
    <w:rsid w:val="0084626A"/>
    <w:rsid w:val="008463AE"/>
    <w:rsid w:val="008463F4"/>
    <w:rsid w:val="008467BB"/>
    <w:rsid w:val="008467D5"/>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1BBD"/>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70"/>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7AE"/>
    <w:rsid w:val="008E38E9"/>
    <w:rsid w:val="008E3FED"/>
    <w:rsid w:val="008E40E9"/>
    <w:rsid w:val="008E4180"/>
    <w:rsid w:val="008E4230"/>
    <w:rsid w:val="008E4417"/>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A49"/>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8C2"/>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5A"/>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90E"/>
    <w:rsid w:val="0093658D"/>
    <w:rsid w:val="00936803"/>
    <w:rsid w:val="00936BF5"/>
    <w:rsid w:val="00936C91"/>
    <w:rsid w:val="0093766A"/>
    <w:rsid w:val="00937B44"/>
    <w:rsid w:val="00940026"/>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599"/>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5D"/>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A04"/>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CC0"/>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B6"/>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18D"/>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25"/>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6B"/>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EB8"/>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A8B"/>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A96"/>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2A6"/>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AD3"/>
    <w:rsid w:val="00B73E37"/>
    <w:rsid w:val="00B73F69"/>
    <w:rsid w:val="00B746B7"/>
    <w:rsid w:val="00B74932"/>
    <w:rsid w:val="00B74950"/>
    <w:rsid w:val="00B75021"/>
    <w:rsid w:val="00B75A1B"/>
    <w:rsid w:val="00B75C81"/>
    <w:rsid w:val="00B75D52"/>
    <w:rsid w:val="00B76149"/>
    <w:rsid w:val="00B761B3"/>
    <w:rsid w:val="00B76209"/>
    <w:rsid w:val="00B765ED"/>
    <w:rsid w:val="00B76905"/>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7A1"/>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D38"/>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0FF"/>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99C"/>
    <w:rsid w:val="00BE79F8"/>
    <w:rsid w:val="00BE7DC8"/>
    <w:rsid w:val="00BF0113"/>
    <w:rsid w:val="00BF011D"/>
    <w:rsid w:val="00BF04B0"/>
    <w:rsid w:val="00BF06D7"/>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366"/>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AF2"/>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98A"/>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065"/>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9C1"/>
    <w:rsid w:val="00D05B8D"/>
    <w:rsid w:val="00D05BC1"/>
    <w:rsid w:val="00D06057"/>
    <w:rsid w:val="00D06214"/>
    <w:rsid w:val="00D06291"/>
    <w:rsid w:val="00D06364"/>
    <w:rsid w:val="00D068FC"/>
    <w:rsid w:val="00D06A11"/>
    <w:rsid w:val="00D06B0A"/>
    <w:rsid w:val="00D07451"/>
    <w:rsid w:val="00D077A4"/>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606"/>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C9D"/>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93D"/>
    <w:rsid w:val="00D77BB0"/>
    <w:rsid w:val="00D77CAB"/>
    <w:rsid w:val="00D77F09"/>
    <w:rsid w:val="00D77F0E"/>
    <w:rsid w:val="00D77FDE"/>
    <w:rsid w:val="00D801E6"/>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1D1"/>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03A"/>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295"/>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09E"/>
    <w:rsid w:val="00EB24E3"/>
    <w:rsid w:val="00EB2F01"/>
    <w:rsid w:val="00EB39BD"/>
    <w:rsid w:val="00EB4280"/>
    <w:rsid w:val="00EB4371"/>
    <w:rsid w:val="00EB48DE"/>
    <w:rsid w:val="00EB49BB"/>
    <w:rsid w:val="00EB5CDC"/>
    <w:rsid w:val="00EB5D86"/>
    <w:rsid w:val="00EB5FB7"/>
    <w:rsid w:val="00EB6207"/>
    <w:rsid w:val="00EB63E9"/>
    <w:rsid w:val="00EB670F"/>
    <w:rsid w:val="00EB67FB"/>
    <w:rsid w:val="00EB6954"/>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9F6"/>
    <w:rsid w:val="00ED2C54"/>
    <w:rsid w:val="00ED320B"/>
    <w:rsid w:val="00ED328F"/>
    <w:rsid w:val="00ED3521"/>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86"/>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3A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85B"/>
    <w:rsid w:val="00F13A10"/>
    <w:rsid w:val="00F13B13"/>
    <w:rsid w:val="00F13D2B"/>
    <w:rsid w:val="00F13E1E"/>
    <w:rsid w:val="00F13E75"/>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BD"/>
    <w:rsid w:val="00F45B6A"/>
    <w:rsid w:val="00F45CD7"/>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0FE6"/>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933"/>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7F"/>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123"/>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basedOn w:val="a1"/>
    <w:link w:val="aff1"/>
    <w:uiPriority w:val="72"/>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link w:val="aff0"/>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character" w:customStyle="1" w:styleId="B1Char">
    <w:name w:val="B1 Char"/>
    <w:rsid w:val="00490A3F"/>
    <w:rPr>
      <w:lang w:val="en-GB"/>
    </w:rPr>
  </w:style>
  <w:style w:type="paragraph" w:styleId="aff4">
    <w:name w:val="Quote"/>
    <w:basedOn w:val="a1"/>
    <w:next w:val="a1"/>
    <w:link w:val="aff5"/>
    <w:uiPriority w:val="29"/>
    <w:qFormat/>
    <w:rsid w:val="0058770D"/>
    <w:pPr>
      <w:spacing w:before="200" w:after="160"/>
      <w:ind w:left="864" w:right="864"/>
      <w:jc w:val="center"/>
    </w:pPr>
    <w:rPr>
      <w:i/>
      <w:iCs/>
      <w:color w:val="404040" w:themeColor="text1" w:themeTint="BF"/>
    </w:rPr>
  </w:style>
  <w:style w:type="character" w:customStyle="1" w:styleId="aff5">
    <w:name w:val="引用文 (文字)"/>
    <w:basedOn w:val="a2"/>
    <w:link w:val="aff4"/>
    <w:uiPriority w:val="29"/>
    <w:rsid w:val="0058770D"/>
    <w:rPr>
      <w:rFonts w:eastAsia="ＭＳ ゴシック"/>
      <w:i/>
      <w:iCs/>
      <w:color w:val="404040" w:themeColor="text1" w:themeTint="B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901167">
      <w:bodyDiv w:val="1"/>
      <w:marLeft w:val="0"/>
      <w:marRight w:val="0"/>
      <w:marTop w:val="0"/>
      <w:marBottom w:val="0"/>
      <w:divBdr>
        <w:top w:val="none" w:sz="0" w:space="0" w:color="auto"/>
        <w:left w:val="none" w:sz="0" w:space="0" w:color="auto"/>
        <w:bottom w:val="none" w:sz="0" w:space="0" w:color="auto"/>
        <w:right w:val="none" w:sz="0" w:space="0" w:color="auto"/>
      </w:divBdr>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531917">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186285509">
      <w:bodyDiv w:val="1"/>
      <w:marLeft w:val="0"/>
      <w:marRight w:val="0"/>
      <w:marTop w:val="0"/>
      <w:marBottom w:val="0"/>
      <w:divBdr>
        <w:top w:val="none" w:sz="0" w:space="0" w:color="auto"/>
        <w:left w:val="none" w:sz="0" w:space="0" w:color="auto"/>
        <w:bottom w:val="none" w:sz="0" w:space="0" w:color="auto"/>
        <w:right w:val="none" w:sz="0" w:space="0" w:color="auto"/>
      </w:divBdr>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74767381">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7503731">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353631">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025310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1605</Words>
  <Characters>8398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9984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2019-02-14T03:19:00Z</dcterms:created>
  <dcterms:modified xsi:type="dcterms:W3CDTF">2019-02-15T08:23:00Z</dcterms:modified>
</cp:coreProperties>
</file>